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5F1041" w14:textId="074AA01D" w:rsidR="00786304" w:rsidRPr="00A01DEE" w:rsidRDefault="00786304" w:rsidP="00786304">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F714DB">
        <w:rPr>
          <w:b/>
          <w:sz w:val="24"/>
          <w:szCs w:val="24"/>
        </w:rPr>
        <w:t>4</w:t>
      </w:r>
      <w:r w:rsidRPr="004702E8">
        <w:rPr>
          <w:b/>
          <w:sz w:val="24"/>
          <w:szCs w:val="24"/>
        </w:rPr>
        <w:t>-e</w:t>
      </w:r>
      <w:r w:rsidRPr="006E473F">
        <w:rPr>
          <w:rFonts w:hint="eastAsia"/>
          <w:b/>
          <w:sz w:val="24"/>
          <w:szCs w:val="24"/>
          <w:lang w:eastAsia="ko-KR"/>
        </w:rPr>
        <w:tab/>
      </w:r>
      <w:r>
        <w:rPr>
          <w:b/>
          <w:sz w:val="24"/>
          <w:szCs w:val="24"/>
          <w:lang w:eastAsia="ko-KR"/>
        </w:rPr>
        <w:t>R1-2</w:t>
      </w:r>
      <w:r w:rsidR="00C1764E">
        <w:rPr>
          <w:b/>
          <w:sz w:val="24"/>
          <w:szCs w:val="24"/>
          <w:lang w:eastAsia="ko-KR"/>
        </w:rPr>
        <w:t>101209</w:t>
      </w:r>
      <w:bookmarkStart w:id="2" w:name="_GoBack"/>
      <w:bookmarkEnd w:id="2"/>
    </w:p>
    <w:bookmarkEnd w:id="0"/>
    <w:p w14:paraId="723797EF" w14:textId="5B520A77" w:rsidR="007A57E2" w:rsidRPr="001F2CD1" w:rsidRDefault="00F714DB" w:rsidP="00786304">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January 25</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February 5</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F9655A" w:rsidRPr="00E17817">
        <w:rPr>
          <w:rFonts w:cs="Arial"/>
          <w:bCs/>
          <w:sz w:val="24"/>
          <w:szCs w:val="24"/>
          <w:lang w:eastAsia="ja-JP"/>
        </w:rPr>
        <w:t>202</w:t>
      </w:r>
      <w:r>
        <w:rPr>
          <w:rFonts w:cs="Arial"/>
          <w:bCs/>
          <w:sz w:val="24"/>
          <w:szCs w:val="24"/>
          <w:lang w:eastAsia="ja-JP"/>
        </w:rPr>
        <w:t>1</w:t>
      </w:r>
    </w:p>
    <w:p w14:paraId="59CC9F23" w14:textId="7900F98D"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552E9">
        <w:rPr>
          <w:rFonts w:ascii="Arial" w:hAnsi="Arial"/>
          <w:color w:val="000000"/>
          <w:sz w:val="24"/>
          <w:szCs w:val="24"/>
        </w:rPr>
        <w:t>4</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A3C6D95"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24983" w:rsidRPr="00B24983">
        <w:rPr>
          <w:rFonts w:ascii="Arial" w:eastAsia="맑은 고딕" w:hAnsi="Arial"/>
          <w:color w:val="000000"/>
          <w:sz w:val="24"/>
        </w:rPr>
        <w:t xml:space="preserve">Remaining </w:t>
      </w:r>
      <w:r w:rsidR="004552E9">
        <w:rPr>
          <w:rFonts w:ascii="Arial" w:eastAsia="맑은 고딕" w:hAnsi="Arial"/>
          <w:color w:val="000000"/>
          <w:sz w:val="24"/>
        </w:rPr>
        <w:t>issues for NTN</w:t>
      </w:r>
    </w:p>
    <w:p w14:paraId="525796C0"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54F16550" w14:textId="44AADC9C" w:rsidR="00C759DF" w:rsidRDefault="008D2346" w:rsidP="008378E3">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8378E3">
        <w:rPr>
          <w:rFonts w:eastAsia="맑은 고딕"/>
          <w:color w:val="000000"/>
          <w:sz w:val="22"/>
          <w:szCs w:val="22"/>
        </w:rPr>
        <w:t xml:space="preserve">. </w:t>
      </w:r>
      <w:r w:rsidR="00C759DF">
        <w:rPr>
          <w:rFonts w:eastAsia="맑은 고딕" w:hint="eastAsia"/>
          <w:color w:val="000000"/>
          <w:sz w:val="22"/>
          <w:szCs w:val="22"/>
        </w:rPr>
        <w:t>I</w:t>
      </w:r>
      <w:r w:rsidR="00C759DF">
        <w:rPr>
          <w:rFonts w:eastAsia="맑은 고딕"/>
          <w:color w:val="000000"/>
          <w:sz w:val="22"/>
          <w:szCs w:val="22"/>
        </w:rPr>
        <w:t>n RAN1#102-e</w:t>
      </w:r>
      <w:r w:rsidR="008D1980">
        <w:rPr>
          <w:rFonts w:eastAsia="맑은 고딕"/>
          <w:color w:val="000000"/>
          <w:sz w:val="22"/>
          <w:szCs w:val="22"/>
        </w:rPr>
        <w:t xml:space="preserve"> and RAN1#103-e</w:t>
      </w:r>
      <w:r w:rsidR="00C759DF">
        <w:rPr>
          <w:rFonts w:eastAsia="맑은 고딕"/>
          <w:color w:val="000000"/>
          <w:sz w:val="22"/>
          <w:szCs w:val="22"/>
        </w:rPr>
        <w:t>, the following agreements were made.</w:t>
      </w:r>
    </w:p>
    <w:tbl>
      <w:tblPr>
        <w:tblStyle w:val="aff"/>
        <w:tblW w:w="0" w:type="auto"/>
        <w:tblLook w:val="04A0" w:firstRow="1" w:lastRow="0" w:firstColumn="1" w:lastColumn="0" w:noHBand="0" w:noVBand="1"/>
      </w:tblPr>
      <w:tblGrid>
        <w:gridCol w:w="9631"/>
      </w:tblGrid>
      <w:tr w:rsidR="00C759DF" w14:paraId="464429DA" w14:textId="77777777" w:rsidTr="00C759DF">
        <w:tc>
          <w:tcPr>
            <w:tcW w:w="9631" w:type="dxa"/>
          </w:tcPr>
          <w:p w14:paraId="52A6DE19" w14:textId="77777777" w:rsidR="00C759DF" w:rsidRPr="008D1980" w:rsidRDefault="00C759DF" w:rsidP="008D1980">
            <w:pPr>
              <w:wordWrap/>
              <w:spacing w:after="0"/>
              <w:rPr>
                <w:lang w:eastAsia="x-none"/>
              </w:rPr>
            </w:pPr>
            <w:r w:rsidRPr="008D1980">
              <w:rPr>
                <w:highlight w:val="green"/>
                <w:lang w:eastAsia="x-none"/>
              </w:rPr>
              <w:t>Agreement:</w:t>
            </w:r>
          </w:p>
          <w:p w14:paraId="66A33C12" w14:textId="77777777" w:rsidR="00C759DF" w:rsidRPr="008D1980" w:rsidRDefault="00C759DF" w:rsidP="008D1980">
            <w:pPr>
              <w:wordWrap/>
              <w:spacing w:after="0"/>
              <w:rPr>
                <w:lang w:eastAsia="x-none"/>
              </w:rPr>
            </w:pPr>
            <w:r w:rsidRPr="008D1980">
              <w:rPr>
                <w:lang w:eastAsia="x-none"/>
              </w:rPr>
              <w:t>One-beam per cell and multiple-beam per cell are supported in existing NR specifications and are baseline for NR NTN.</w:t>
            </w:r>
          </w:p>
          <w:p w14:paraId="1F447A53" w14:textId="77777777" w:rsidR="00C759DF" w:rsidRPr="008D1980" w:rsidRDefault="00C759DF" w:rsidP="008D1980">
            <w:pPr>
              <w:widowControl/>
              <w:numPr>
                <w:ilvl w:val="0"/>
                <w:numId w:val="40"/>
              </w:numPr>
              <w:wordWrap/>
              <w:autoSpaceDE/>
              <w:autoSpaceDN/>
              <w:spacing w:after="0"/>
              <w:rPr>
                <w:lang w:eastAsia="x-none"/>
              </w:rPr>
            </w:pPr>
            <w:r w:rsidRPr="008D1980">
              <w:rPr>
                <w:lang w:eastAsia="x-none"/>
              </w:rPr>
              <w:t xml:space="preserve">FFS: The need for potential enhancement for beam management </w:t>
            </w:r>
          </w:p>
          <w:p w14:paraId="21157854" w14:textId="77777777" w:rsidR="00C759DF" w:rsidRPr="008D1980" w:rsidRDefault="00C759DF" w:rsidP="008D1980">
            <w:pPr>
              <w:widowControl/>
              <w:numPr>
                <w:ilvl w:val="0"/>
                <w:numId w:val="40"/>
              </w:numPr>
              <w:wordWrap/>
              <w:autoSpaceDE/>
              <w:autoSpaceDN/>
              <w:spacing w:after="0"/>
              <w:rPr>
                <w:lang w:eastAsia="x-none"/>
              </w:rPr>
            </w:pPr>
            <w:r w:rsidRPr="008D1980">
              <w:rPr>
                <w:lang w:eastAsia="x-none"/>
              </w:rPr>
              <w:t>FFS: The need for potential enhancement on association of SSBs, beams and BWPs</w:t>
            </w:r>
          </w:p>
          <w:p w14:paraId="4FB5EE81" w14:textId="77777777" w:rsidR="00C759DF" w:rsidRPr="008D1980" w:rsidRDefault="00C759DF" w:rsidP="008D1980">
            <w:pPr>
              <w:wordWrap/>
              <w:spacing w:after="0"/>
              <w:rPr>
                <w:lang w:eastAsia="x-none"/>
              </w:rPr>
            </w:pPr>
          </w:p>
          <w:p w14:paraId="118BA95A" w14:textId="77777777" w:rsidR="00C759DF" w:rsidRPr="008D1980" w:rsidRDefault="00C759DF" w:rsidP="008D1980">
            <w:pPr>
              <w:wordWrap/>
              <w:spacing w:after="0"/>
              <w:rPr>
                <w:lang w:eastAsia="x-none"/>
              </w:rPr>
            </w:pPr>
            <w:r w:rsidRPr="008D1980">
              <w:rPr>
                <w:highlight w:val="green"/>
                <w:lang w:eastAsia="x-none"/>
              </w:rPr>
              <w:t>Agreement:</w:t>
            </w:r>
          </w:p>
          <w:p w14:paraId="35EC970C" w14:textId="77777777" w:rsidR="00C759DF" w:rsidRPr="008D1980" w:rsidRDefault="00C759DF" w:rsidP="008D1980">
            <w:pPr>
              <w:wordWrap/>
              <w:spacing w:after="0"/>
              <w:rPr>
                <w:bCs/>
                <w:iCs/>
                <w:lang w:eastAsia="x-none"/>
              </w:rPr>
            </w:pPr>
            <w:r w:rsidRPr="008D1980">
              <w:rPr>
                <w:bCs/>
                <w:iCs/>
                <w:lang w:eastAsia="x-none"/>
              </w:rPr>
              <w:t>Potential enhancements for support of polarisation signalling in NR NTN can consider at least the following:</w:t>
            </w:r>
          </w:p>
          <w:p w14:paraId="506B676C" w14:textId="77777777" w:rsidR="00C759DF" w:rsidRPr="008D1980" w:rsidRDefault="00C759DF" w:rsidP="008D1980">
            <w:pPr>
              <w:widowControl/>
              <w:numPr>
                <w:ilvl w:val="0"/>
                <w:numId w:val="40"/>
              </w:numPr>
              <w:wordWrap/>
              <w:autoSpaceDE/>
              <w:autoSpaceDN/>
              <w:spacing w:after="0"/>
              <w:rPr>
                <w:bCs/>
                <w:iCs/>
                <w:lang w:eastAsia="x-none"/>
              </w:rPr>
            </w:pPr>
            <w:r w:rsidRPr="008D1980">
              <w:rPr>
                <w:bCs/>
                <w:iCs/>
                <w:lang w:eastAsia="x-none"/>
              </w:rPr>
              <w:t xml:space="preserve">Configuration of DL and UL transmit polarization including Right hand and Left hand circular polarizations (RHCP, LHCP) </w:t>
            </w:r>
          </w:p>
          <w:p w14:paraId="436B7FB0" w14:textId="77777777" w:rsidR="00C759DF" w:rsidRPr="008D1980" w:rsidRDefault="00C759DF" w:rsidP="008D1980">
            <w:pPr>
              <w:widowControl/>
              <w:numPr>
                <w:ilvl w:val="0"/>
                <w:numId w:val="40"/>
              </w:numPr>
              <w:wordWrap/>
              <w:autoSpaceDE/>
              <w:autoSpaceDN/>
              <w:spacing w:after="0"/>
              <w:rPr>
                <w:bCs/>
                <w:iCs/>
                <w:lang w:eastAsia="x-none"/>
              </w:rPr>
            </w:pPr>
            <w:r w:rsidRPr="008D1980">
              <w:rPr>
                <w:bCs/>
                <w:iCs/>
                <w:lang w:eastAsia="x-none"/>
              </w:rPr>
              <w:t xml:space="preserve">Network broadcast DL and UL transmit polarization configuration  </w:t>
            </w:r>
          </w:p>
          <w:p w14:paraId="0E0E5A88" w14:textId="77777777" w:rsidR="00C759DF" w:rsidRPr="008D1980" w:rsidRDefault="00C759DF" w:rsidP="008D1980">
            <w:pPr>
              <w:widowControl/>
              <w:numPr>
                <w:ilvl w:val="0"/>
                <w:numId w:val="40"/>
              </w:numPr>
              <w:wordWrap/>
              <w:autoSpaceDE/>
              <w:autoSpaceDN/>
              <w:spacing w:after="0"/>
              <w:rPr>
                <w:bCs/>
                <w:iCs/>
                <w:lang w:eastAsia="x-none"/>
              </w:rPr>
            </w:pPr>
            <w:r w:rsidRPr="008D1980">
              <w:rPr>
                <w:bCs/>
                <w:iCs/>
                <w:lang w:eastAsia="x-none"/>
              </w:rPr>
              <w:t>UE polarization capability (RHCP, LHCP, Linear)</w:t>
            </w:r>
          </w:p>
          <w:p w14:paraId="57B3D3D8" w14:textId="77777777" w:rsidR="00C759DF" w:rsidRPr="008D1980" w:rsidRDefault="00C759DF" w:rsidP="008D1980">
            <w:pPr>
              <w:widowControl/>
              <w:numPr>
                <w:ilvl w:val="0"/>
                <w:numId w:val="40"/>
              </w:numPr>
              <w:wordWrap/>
              <w:autoSpaceDE/>
              <w:autoSpaceDN/>
              <w:spacing w:after="0"/>
              <w:rPr>
                <w:bCs/>
                <w:iCs/>
                <w:lang w:eastAsia="x-none"/>
              </w:rPr>
            </w:pPr>
            <w:r w:rsidRPr="008D1980">
              <w:rPr>
                <w:bCs/>
                <w:iCs/>
                <w:lang w:eastAsia="x-none"/>
              </w:rPr>
              <w:t>Dependence of polarisation signaling on deployment scenarios. For example,</w:t>
            </w:r>
          </w:p>
          <w:p w14:paraId="28D2E767" w14:textId="77777777" w:rsidR="00C759DF" w:rsidRPr="008D1980" w:rsidRDefault="00C759DF" w:rsidP="008D1980">
            <w:pPr>
              <w:widowControl/>
              <w:numPr>
                <w:ilvl w:val="1"/>
                <w:numId w:val="40"/>
              </w:numPr>
              <w:wordWrap/>
              <w:autoSpaceDE/>
              <w:autoSpaceDN/>
              <w:spacing w:after="0"/>
              <w:rPr>
                <w:bCs/>
                <w:iCs/>
                <w:lang w:eastAsia="x-none"/>
              </w:rPr>
            </w:pPr>
            <w:r w:rsidRPr="008D1980">
              <w:rPr>
                <w:bCs/>
                <w:iCs/>
                <w:lang w:eastAsia="x-none"/>
              </w:rPr>
              <w:t xml:space="preserve">Resource reuse mode with/without polarization for the beam management enhancement </w:t>
            </w:r>
          </w:p>
          <w:p w14:paraId="19124D4A" w14:textId="6AF2BD5F" w:rsidR="00C759DF" w:rsidRDefault="00C759DF" w:rsidP="008D1980">
            <w:pPr>
              <w:widowControl/>
              <w:numPr>
                <w:ilvl w:val="1"/>
                <w:numId w:val="40"/>
              </w:numPr>
              <w:wordWrap/>
              <w:autoSpaceDE/>
              <w:autoSpaceDN/>
              <w:spacing w:after="0"/>
              <w:rPr>
                <w:bCs/>
                <w:iCs/>
                <w:lang w:eastAsia="x-none"/>
              </w:rPr>
            </w:pPr>
            <w:r w:rsidRPr="008D1980">
              <w:rPr>
                <w:bCs/>
                <w:iCs/>
                <w:lang w:eastAsia="x-none"/>
              </w:rPr>
              <w:t xml:space="preserve">Fixed polarization per cell/beam for polarization reuse and circular polarisation with intra-UE and inter-UE multiplexing (intra-UE and inter-UE) signalling </w:t>
            </w:r>
          </w:p>
          <w:p w14:paraId="7D57CAA9" w14:textId="77777777" w:rsidR="008D1980" w:rsidRPr="008D1980" w:rsidRDefault="008D1980" w:rsidP="008D1980">
            <w:pPr>
              <w:widowControl/>
              <w:wordWrap/>
              <w:autoSpaceDE/>
              <w:autoSpaceDN/>
              <w:spacing w:after="0"/>
              <w:ind w:left="720"/>
              <w:rPr>
                <w:bCs/>
                <w:iCs/>
                <w:lang w:eastAsia="x-none"/>
              </w:rPr>
            </w:pPr>
          </w:p>
          <w:p w14:paraId="5C01B51B" w14:textId="77777777" w:rsidR="008D1980" w:rsidRPr="008D1980" w:rsidRDefault="008D1980" w:rsidP="008D1980">
            <w:pPr>
              <w:wordWrap/>
              <w:spacing w:after="0"/>
              <w:rPr>
                <w:lang w:eastAsia="x-none"/>
              </w:rPr>
            </w:pPr>
            <w:r w:rsidRPr="008D1980">
              <w:rPr>
                <w:highlight w:val="green"/>
                <w:lang w:eastAsia="x-none"/>
              </w:rPr>
              <w:t>Agreement:</w:t>
            </w:r>
          </w:p>
          <w:p w14:paraId="488DB4BC" w14:textId="77777777" w:rsidR="008D1980" w:rsidRPr="008D1980" w:rsidRDefault="008D1980" w:rsidP="008D1980">
            <w:pPr>
              <w:wordWrap/>
              <w:spacing w:after="0"/>
              <w:rPr>
                <w:lang w:eastAsia="x-none"/>
              </w:rPr>
            </w:pPr>
            <w:r w:rsidRPr="008D1980">
              <w:rPr>
                <w:lang w:eastAsia="x-none"/>
              </w:rPr>
              <w:t xml:space="preserve">Indication of polarization information for DL and UL by the network is supported. </w:t>
            </w:r>
          </w:p>
          <w:p w14:paraId="7139822F" w14:textId="098D1902" w:rsidR="008D1980" w:rsidRPr="008D1980" w:rsidRDefault="008D1980" w:rsidP="008D1980">
            <w:pPr>
              <w:widowControl/>
              <w:numPr>
                <w:ilvl w:val="0"/>
                <w:numId w:val="40"/>
              </w:numPr>
              <w:wordWrap/>
              <w:autoSpaceDE/>
              <w:autoSpaceDN/>
              <w:spacing w:after="0"/>
              <w:rPr>
                <w:rFonts w:ascii="Arial" w:hAnsi="Arial" w:cs="Arial"/>
                <w:lang w:eastAsia="x-none"/>
              </w:rPr>
            </w:pPr>
            <w:r w:rsidRPr="008D1980">
              <w:rPr>
                <w:lang w:eastAsia="x-none"/>
              </w:rPr>
              <w:t>FFS: Signaling details</w:t>
            </w:r>
          </w:p>
        </w:tc>
      </w:tr>
    </w:tbl>
    <w:p w14:paraId="562C1F1D" w14:textId="2D241009"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discuss the </w:t>
      </w:r>
      <w:r w:rsidR="004552E9">
        <w:rPr>
          <w:rFonts w:eastAsia="맑은 고딕"/>
          <w:color w:val="000000"/>
          <w:sz w:val="22"/>
          <w:szCs w:val="22"/>
        </w:rPr>
        <w:t>other issues</w:t>
      </w:r>
      <w:r w:rsidR="00D94F4C" w:rsidRPr="001D75BE">
        <w:rPr>
          <w:rFonts w:eastAsia="맑은 고딕"/>
          <w:color w:val="000000"/>
          <w:sz w:val="22"/>
          <w:szCs w:val="22"/>
        </w:rPr>
        <w:t xml:space="preserve"> for NTN</w:t>
      </w:r>
      <w:r w:rsidRPr="001D75BE">
        <w:rPr>
          <w:rFonts w:eastAsia="맑은 고딕"/>
          <w:color w:val="000000"/>
          <w:sz w:val="22"/>
          <w:szCs w:val="22"/>
        </w:rPr>
        <w:t>.</w:t>
      </w:r>
      <w:r w:rsidR="007E2A28">
        <w:rPr>
          <w:rFonts w:eastAsia="맑은 고딕"/>
          <w:color w:val="000000"/>
          <w:sz w:val="22"/>
          <w:szCs w:val="22"/>
        </w:rPr>
        <w:t xml:space="preserve"> This is a revision of R1-2008167.</w:t>
      </w:r>
    </w:p>
    <w:p w14:paraId="5E5B497B" w14:textId="77777777" w:rsidR="00C759DF" w:rsidRPr="001D75BE" w:rsidRDefault="00C759DF" w:rsidP="006613B5">
      <w:pPr>
        <w:wordWrap/>
        <w:spacing w:before="240" w:after="60" w:line="288" w:lineRule="auto"/>
        <w:ind w:firstLine="284"/>
        <w:jc w:val="both"/>
        <w:rPr>
          <w:rFonts w:eastAsia="바탕"/>
          <w:color w:val="000000"/>
          <w:sz w:val="22"/>
          <w:szCs w:val="22"/>
        </w:rPr>
      </w:pPr>
    </w:p>
    <w:p w14:paraId="75B27B37" w14:textId="765BE3A0" w:rsidR="00545384" w:rsidRDefault="004552E9" w:rsidP="004552E9">
      <w:pPr>
        <w:pStyle w:val="1"/>
      </w:pPr>
      <w:r>
        <w:t>A</w:t>
      </w:r>
      <w:r w:rsidRPr="004552E9">
        <w:t>dditional evaluation assumption</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00670ABE" w14:textId="2CB2C55E" w:rsidR="00335869" w:rsidRDefault="00A9337B" w:rsidP="00D5035B">
      <w:pPr>
        <w:wordWrap/>
        <w:spacing w:before="60" w:after="60" w:line="288" w:lineRule="auto"/>
        <w:jc w:val="both"/>
        <w:rPr>
          <w:rFonts w:eastAsia="맑은 고딕"/>
          <w:sz w:val="22"/>
          <w:szCs w:val="22"/>
        </w:rPr>
      </w:pPr>
      <w:r>
        <w:rPr>
          <w:rFonts w:eastAsia="맑은 고딕" w:hint="eastAsia"/>
          <w:sz w:val="22"/>
          <w:szCs w:val="22"/>
        </w:rPr>
        <w:t xml:space="preserve">In [2], the path loss </w:t>
      </w:r>
      <w:r w:rsidR="00D944B8">
        <w:rPr>
          <w:rFonts w:eastAsia="맑은 고딕"/>
          <w:sz w:val="22"/>
          <w:szCs w:val="22"/>
        </w:rPr>
        <w:t xml:space="preserve">model </w:t>
      </w:r>
      <w:r>
        <w:rPr>
          <w:rFonts w:eastAsia="맑은 고딕"/>
          <w:sz w:val="22"/>
          <w:szCs w:val="22"/>
        </w:rPr>
        <w:t xml:space="preserve">due to woodland, e.g., forest, is </w:t>
      </w:r>
      <w:r w:rsidR="00D944B8">
        <w:rPr>
          <w:rFonts w:eastAsia="맑은 고딕"/>
          <w:sz w:val="22"/>
          <w:szCs w:val="22"/>
        </w:rPr>
        <w:t>provided</w:t>
      </w:r>
      <w:r>
        <w:rPr>
          <w:rFonts w:eastAsia="맑은 고딕"/>
          <w:sz w:val="22"/>
          <w:szCs w:val="22"/>
        </w:rPr>
        <w:t xml:space="preserve"> for satellite communications. </w:t>
      </w:r>
      <w:r w:rsidR="00D5035B">
        <w:rPr>
          <w:rFonts w:eastAsia="맑은 고딕"/>
          <w:sz w:val="22"/>
          <w:szCs w:val="22"/>
        </w:rPr>
        <w:t xml:space="preserve">Fig. xx shows the illustration of woodland with </w:t>
      </w:r>
      <w:r w:rsidR="00D5035B" w:rsidRPr="00D5035B">
        <w:rPr>
          <w:rFonts w:eastAsia="맑은 고딕"/>
          <w:sz w:val="22"/>
          <w:szCs w:val="22"/>
        </w:rPr>
        <w:t xml:space="preserve">vegetation path length, </w:t>
      </w:r>
      <m:oMath>
        <m:r>
          <w:rPr>
            <w:rFonts w:ascii="Cambria Math" w:eastAsia="맑은 고딕" w:hAnsi="Cambria Math"/>
            <w:sz w:val="22"/>
            <w:szCs w:val="22"/>
          </w:rPr>
          <m:t>d</m:t>
        </m:r>
      </m:oMath>
      <w:r w:rsidR="00D5035B" w:rsidRPr="00D5035B">
        <w:rPr>
          <w:rFonts w:eastAsia="맑은 고딕"/>
          <w:sz w:val="22"/>
          <w:szCs w:val="22"/>
        </w:rPr>
        <w:t xml:space="preserve">, average tree height, </w:t>
      </w:r>
      <m:oMath>
        <m:sSub>
          <m:sSubPr>
            <m:ctrlPr>
              <w:rPr>
                <w:rFonts w:ascii="Cambria Math" w:eastAsia="맑은 고딕" w:hAnsi="Cambria Math"/>
                <w:sz w:val="22"/>
                <w:szCs w:val="22"/>
              </w:rPr>
            </m:ctrlPr>
          </m:sSubPr>
          <m:e>
            <m:r>
              <w:rPr>
                <w:rFonts w:ascii="Cambria Math" w:eastAsia="맑은 고딕" w:hAnsi="Cambria Math"/>
                <w:sz w:val="22"/>
                <w:szCs w:val="22"/>
              </w:rPr>
              <m:t>h</m:t>
            </m:r>
          </m:e>
          <m:sub>
            <m:r>
              <w:rPr>
                <w:rFonts w:ascii="Cambria Math" w:eastAsia="맑은 고딕" w:hAnsi="Cambria Math"/>
                <w:sz w:val="22"/>
                <w:szCs w:val="22"/>
              </w:rPr>
              <m:t>v</m:t>
            </m:r>
          </m:sub>
        </m:sSub>
      </m:oMath>
      <w:r w:rsidR="00D5035B" w:rsidRPr="00D5035B">
        <w:rPr>
          <w:rFonts w:eastAsia="맑은 고딕"/>
          <w:sz w:val="22"/>
          <w:szCs w:val="22"/>
        </w:rPr>
        <w:t>,</w:t>
      </w:r>
      <w:r w:rsidR="00D5035B">
        <w:rPr>
          <w:rFonts w:eastAsia="맑은 고딕"/>
          <w:sz w:val="22"/>
          <w:szCs w:val="22"/>
        </w:rPr>
        <w:t xml:space="preserve"> </w:t>
      </w:r>
      <w:r w:rsidR="00D5035B" w:rsidRPr="00D5035B">
        <w:rPr>
          <w:rFonts w:eastAsia="맑은 고딕"/>
          <w:sz w:val="22"/>
          <w:szCs w:val="22"/>
        </w:rPr>
        <w:t xml:space="preserve">height of the Rx antenna over ground, </w:t>
      </w:r>
      <m:oMath>
        <m:sSub>
          <m:sSubPr>
            <m:ctrlPr>
              <w:rPr>
                <w:rFonts w:ascii="Cambria Math" w:eastAsia="맑은 고딕" w:hAnsi="Cambria Math"/>
                <w:sz w:val="22"/>
                <w:szCs w:val="22"/>
              </w:rPr>
            </m:ctrlPr>
          </m:sSubPr>
          <m:e>
            <m:r>
              <w:rPr>
                <w:rFonts w:ascii="Cambria Math" w:eastAsia="맑은 고딕" w:hAnsi="Cambria Math"/>
                <w:sz w:val="22"/>
                <w:szCs w:val="22"/>
              </w:rPr>
              <m:t>h</m:t>
            </m:r>
          </m:e>
          <m:sub>
            <m:r>
              <w:rPr>
                <w:rFonts w:ascii="Cambria Math" w:eastAsia="맑은 고딕" w:hAnsi="Cambria Math"/>
                <w:sz w:val="22"/>
                <w:szCs w:val="22"/>
              </w:rPr>
              <m:t>a</m:t>
            </m:r>
          </m:sub>
        </m:sSub>
      </m:oMath>
      <w:r w:rsidR="00D5035B" w:rsidRPr="00D5035B">
        <w:rPr>
          <w:rFonts w:eastAsia="맑은 고딕"/>
          <w:sz w:val="22"/>
          <w:szCs w:val="22"/>
        </w:rPr>
        <w:t xml:space="preserve">, radio path elevation, </w:t>
      </w:r>
      <m:oMath>
        <m:r>
          <w:rPr>
            <w:rFonts w:ascii="Cambria Math" w:eastAsia="맑은 고딕" w:hAnsi="Cambria Math"/>
            <w:sz w:val="22"/>
            <w:szCs w:val="22"/>
          </w:rPr>
          <m:t>θ</m:t>
        </m:r>
      </m:oMath>
      <w:r w:rsidR="00D5035B" w:rsidRPr="00D5035B">
        <w:rPr>
          <w:rFonts w:eastAsia="맑은 고딕"/>
          <w:sz w:val="22"/>
          <w:szCs w:val="22"/>
        </w:rPr>
        <w:t>,, and distance</w:t>
      </w:r>
      <w:r w:rsidR="00D5035B">
        <w:rPr>
          <w:rFonts w:eastAsia="맑은 고딕"/>
          <w:sz w:val="22"/>
          <w:szCs w:val="22"/>
        </w:rPr>
        <w:t xml:space="preserve"> </w:t>
      </w:r>
      <w:r w:rsidR="00D5035B" w:rsidRPr="00D5035B">
        <w:rPr>
          <w:rFonts w:eastAsia="맑은 고딕"/>
          <w:sz w:val="22"/>
          <w:szCs w:val="22"/>
        </w:rPr>
        <w:t xml:space="preserve">of the antenna to the roadside woodland, </w:t>
      </w:r>
      <m:oMath>
        <m:sSub>
          <m:sSubPr>
            <m:ctrlPr>
              <w:rPr>
                <w:rFonts w:ascii="Cambria Math" w:eastAsia="맑은 고딕" w:hAnsi="Cambria Math"/>
                <w:sz w:val="22"/>
                <w:szCs w:val="22"/>
              </w:rPr>
            </m:ctrlPr>
          </m:sSubPr>
          <m:e>
            <m:r>
              <w:rPr>
                <w:rFonts w:ascii="Cambria Math" w:eastAsia="맑은 고딕" w:hAnsi="Cambria Math"/>
                <w:sz w:val="22"/>
                <w:szCs w:val="22"/>
              </w:rPr>
              <m:t>d</m:t>
            </m:r>
          </m:e>
          <m:sub>
            <m:r>
              <w:rPr>
                <w:rFonts w:ascii="Cambria Math" w:eastAsia="맑은 고딕" w:hAnsi="Cambria Math"/>
                <w:sz w:val="22"/>
                <w:szCs w:val="22"/>
              </w:rPr>
              <m:t>w</m:t>
            </m:r>
          </m:sub>
        </m:sSub>
      </m:oMath>
      <w:r w:rsidR="002F112A">
        <w:rPr>
          <w:rFonts w:eastAsia="맑은 고딕"/>
          <w:sz w:val="22"/>
          <w:szCs w:val="22"/>
        </w:rPr>
        <w:t>.</w:t>
      </w:r>
      <w:r w:rsidR="00122B63">
        <w:rPr>
          <w:rFonts w:eastAsia="맑은 고딕"/>
          <w:sz w:val="22"/>
          <w:szCs w:val="22"/>
        </w:rPr>
        <w:t xml:space="preserve"> According to the measurement from Austria [2], the model for the attenuation loss, L, can be modeled as</w:t>
      </w:r>
    </w:p>
    <w:p w14:paraId="7E5AD5B0" w14:textId="16344247" w:rsidR="00122B63" w:rsidRPr="00122B63" w:rsidRDefault="00122B63" w:rsidP="00D5035B">
      <w:pPr>
        <w:wordWrap/>
        <w:spacing w:before="60" w:after="60" w:line="288" w:lineRule="auto"/>
        <w:jc w:val="both"/>
        <w:rPr>
          <w:rFonts w:eastAsia="맑은 고딕"/>
          <w:sz w:val="22"/>
          <w:szCs w:val="22"/>
        </w:rPr>
      </w:pPr>
      <m:oMathPara>
        <m:oMath>
          <m:r>
            <w:rPr>
              <w:rFonts w:ascii="Cambria Math" w:eastAsia="맑은 고딕" w:hAnsi="Cambria Math"/>
              <w:sz w:val="22"/>
              <w:szCs w:val="22"/>
            </w:rPr>
            <m:t>L</m:t>
          </m:r>
          <m:r>
            <m:rPr>
              <m:sty m:val="p"/>
            </m:rPr>
            <w:rPr>
              <w:rFonts w:ascii="Cambria Math" w:eastAsia="맑은 고딕" w:hAnsi="Cambria Math"/>
              <w:sz w:val="22"/>
              <w:szCs w:val="22"/>
            </w:rPr>
            <m:t xml:space="preserve"> </m:t>
          </m:r>
          <m:d>
            <m:dPr>
              <m:ctrlPr>
                <w:rPr>
                  <w:rFonts w:ascii="Cambria Math" w:eastAsia="맑은 고딕" w:hAnsi="Cambria Math"/>
                  <w:sz w:val="22"/>
                  <w:szCs w:val="22"/>
                </w:rPr>
              </m:ctrlPr>
            </m:dPr>
            <m:e>
              <m:r>
                <w:rPr>
                  <w:rFonts w:ascii="Cambria Math" w:eastAsia="맑은 고딕" w:hAnsi="Cambria Math"/>
                  <w:sz w:val="22"/>
                  <w:szCs w:val="22"/>
                </w:rPr>
                <m:t>dB</m:t>
              </m:r>
            </m:e>
          </m:d>
          <m:r>
            <w:rPr>
              <w:rFonts w:ascii="Cambria Math" w:eastAsia="맑은 고딕" w:hAnsi="Cambria Math"/>
              <w:sz w:val="22"/>
              <w:szCs w:val="22"/>
            </w:rPr>
            <m:t>=0.25</m:t>
          </m:r>
          <m:sSup>
            <m:sSupPr>
              <m:ctrlPr>
                <w:rPr>
                  <w:rFonts w:ascii="Cambria Math" w:eastAsia="맑은 고딕" w:hAnsi="Cambria Math"/>
                  <w:i/>
                  <w:sz w:val="22"/>
                  <w:szCs w:val="22"/>
                </w:rPr>
              </m:ctrlPr>
            </m:sSupPr>
            <m:e>
              <m:r>
                <w:rPr>
                  <w:rFonts w:ascii="Cambria Math" w:eastAsia="맑은 고딕" w:hAnsi="Cambria Math"/>
                  <w:sz w:val="22"/>
                  <w:szCs w:val="22"/>
                </w:rPr>
                <m:t>f</m:t>
              </m:r>
            </m:e>
            <m:sup>
              <m:r>
                <w:rPr>
                  <w:rFonts w:ascii="Cambria Math" w:eastAsia="맑은 고딕" w:hAnsi="Cambria Math"/>
                  <w:sz w:val="22"/>
                  <w:szCs w:val="22"/>
                </w:rPr>
                <m:t>0.39</m:t>
              </m:r>
            </m:sup>
          </m:sSup>
          <m:sSup>
            <m:sSupPr>
              <m:ctrlPr>
                <w:rPr>
                  <w:rFonts w:ascii="Cambria Math" w:eastAsia="맑은 고딕" w:hAnsi="Cambria Math"/>
                  <w:i/>
                  <w:sz w:val="22"/>
                  <w:szCs w:val="22"/>
                </w:rPr>
              </m:ctrlPr>
            </m:sSupPr>
            <m:e>
              <m:r>
                <w:rPr>
                  <w:rFonts w:ascii="Cambria Math" w:eastAsia="맑은 고딕" w:hAnsi="Cambria Math"/>
                  <w:sz w:val="22"/>
                  <w:szCs w:val="22"/>
                </w:rPr>
                <m:t>d</m:t>
              </m:r>
            </m:e>
            <m:sup>
              <m:r>
                <w:rPr>
                  <w:rFonts w:ascii="Cambria Math" w:eastAsia="맑은 고딕" w:hAnsi="Cambria Math"/>
                  <w:sz w:val="22"/>
                  <w:szCs w:val="22"/>
                </w:rPr>
                <m:t>0.25</m:t>
              </m:r>
            </m:sup>
          </m:sSup>
          <m:sSup>
            <m:sSupPr>
              <m:ctrlPr>
                <w:rPr>
                  <w:rFonts w:ascii="Cambria Math" w:eastAsia="맑은 고딕" w:hAnsi="Cambria Math"/>
                  <w:i/>
                  <w:sz w:val="22"/>
                  <w:szCs w:val="22"/>
                </w:rPr>
              </m:ctrlPr>
            </m:sSupPr>
            <m:e>
              <m:r>
                <w:rPr>
                  <w:rFonts w:ascii="Cambria Math" w:eastAsia="맑은 고딕" w:hAnsi="Cambria Math"/>
                  <w:sz w:val="22"/>
                  <w:szCs w:val="22"/>
                </w:rPr>
                <m:t>θ</m:t>
              </m:r>
            </m:e>
            <m:sup>
              <m:r>
                <w:rPr>
                  <w:rFonts w:ascii="Cambria Math" w:eastAsia="맑은 고딕" w:hAnsi="Cambria Math"/>
                  <w:sz w:val="22"/>
                  <w:szCs w:val="22"/>
                </w:rPr>
                <m:t>0.05</m:t>
              </m:r>
            </m:sup>
          </m:sSup>
          <m:r>
            <w:rPr>
              <w:rFonts w:ascii="Cambria Math" w:eastAsia="맑은 고딕" w:hAnsi="Cambria Math"/>
              <w:sz w:val="22"/>
              <w:szCs w:val="22"/>
            </w:rPr>
            <m:t>,</m:t>
          </m:r>
        </m:oMath>
      </m:oMathPara>
    </w:p>
    <w:p w14:paraId="6DDF6127" w14:textId="2542DA10" w:rsidR="00122B63" w:rsidRPr="00122B63" w:rsidRDefault="00122B63" w:rsidP="00D5035B">
      <w:pPr>
        <w:wordWrap/>
        <w:spacing w:before="60" w:after="60" w:line="288" w:lineRule="auto"/>
        <w:jc w:val="both"/>
        <w:rPr>
          <w:rFonts w:eastAsia="맑은 고딕"/>
          <w:sz w:val="22"/>
          <w:szCs w:val="22"/>
        </w:rPr>
      </w:pPr>
      <w:r>
        <w:rPr>
          <w:rFonts w:eastAsia="맑은 고딕" w:hint="eastAsia"/>
          <w:sz w:val="22"/>
          <w:szCs w:val="22"/>
        </w:rPr>
        <w:t xml:space="preserve">where </w:t>
      </w:r>
      <w:r>
        <w:rPr>
          <w:rFonts w:eastAsia="맑은 고딕"/>
          <w:sz w:val="22"/>
          <w:szCs w:val="22"/>
        </w:rPr>
        <w:t xml:space="preserve">f, d, </w:t>
      </w:r>
      <m:oMath>
        <m:r>
          <w:rPr>
            <w:rFonts w:ascii="Cambria Math" w:eastAsia="맑은 고딕" w:hAnsi="Cambria Math"/>
            <w:sz w:val="22"/>
            <w:szCs w:val="22"/>
          </w:rPr>
          <m:t>θ</m:t>
        </m:r>
      </m:oMath>
      <w:r>
        <w:rPr>
          <w:rFonts w:eastAsia="맑은 고딕" w:hint="eastAsia"/>
          <w:sz w:val="22"/>
          <w:szCs w:val="22"/>
        </w:rPr>
        <w:t xml:space="preserve"> denote frequency (MHz), vegetation depth (m), and elevation angle (degrees), respectively. </w:t>
      </w:r>
      <w:r w:rsidR="00FB02AD">
        <w:rPr>
          <w:rFonts w:eastAsia="맑은 고딕"/>
          <w:sz w:val="22"/>
          <w:szCs w:val="22"/>
        </w:rPr>
        <w:t xml:space="preserve">For example, </w:t>
      </w:r>
      <w:r w:rsidR="00487BC5">
        <w:rPr>
          <w:rFonts w:eastAsia="맑은 고딕"/>
          <w:sz w:val="22"/>
          <w:szCs w:val="22"/>
        </w:rPr>
        <w:t>for 1.6 GHz frequency, and vegetation depth 10 m, and 30</w:t>
      </w:r>
      <w:r w:rsidR="00487BC5">
        <w:rPr>
          <w:rFonts w:ascii="맑은 고딕" w:eastAsia="맑은 고딕" w:hAnsi="맑은 고딕" w:hint="eastAsia"/>
          <w:sz w:val="22"/>
          <w:szCs w:val="22"/>
        </w:rPr>
        <w:t>°</w:t>
      </w:r>
      <w:r w:rsidR="00487BC5">
        <w:rPr>
          <w:rFonts w:eastAsia="맑은 고딕" w:hint="eastAsia"/>
          <w:sz w:val="22"/>
          <w:szCs w:val="22"/>
        </w:rPr>
        <w:t xml:space="preserve"> elevation angle, the attenuation loss can be modeled as </w:t>
      </w:r>
      <w:r w:rsidR="00487BC5">
        <w:rPr>
          <w:rFonts w:eastAsia="맑은 고딕"/>
          <w:sz w:val="22"/>
          <w:szCs w:val="22"/>
        </w:rPr>
        <w:t xml:space="preserve">9.37 dB. </w:t>
      </w:r>
    </w:p>
    <w:p w14:paraId="536FEB83" w14:textId="593954C7" w:rsidR="00D5035B" w:rsidRDefault="00A9337B" w:rsidP="00D5035B">
      <w:pPr>
        <w:keepNext/>
        <w:wordWrap/>
        <w:spacing w:before="60" w:after="60" w:line="288" w:lineRule="auto"/>
        <w:jc w:val="center"/>
      </w:pPr>
      <w:r w:rsidRPr="00A9337B">
        <w:rPr>
          <w:noProof/>
          <w:sz w:val="22"/>
          <w:szCs w:val="22"/>
        </w:rPr>
        <w:lastRenderedPageBreak/>
        <w:drawing>
          <wp:inline distT="0" distB="0" distL="0" distR="0" wp14:anchorId="33E84680" wp14:editId="2F085D5B">
            <wp:extent cx="5351228" cy="2350323"/>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3202" cy="2351190"/>
                    </a:xfrm>
                    <a:prstGeom prst="rect">
                      <a:avLst/>
                    </a:prstGeom>
                    <a:noFill/>
                    <a:ln>
                      <a:noFill/>
                    </a:ln>
                  </pic:spPr>
                </pic:pic>
              </a:graphicData>
            </a:graphic>
          </wp:inline>
        </w:drawing>
      </w:r>
    </w:p>
    <w:p w14:paraId="0AED7B55" w14:textId="1FAF06CB" w:rsidR="00353692" w:rsidRDefault="00D5035B" w:rsidP="00D5035B">
      <w:pPr>
        <w:pStyle w:val="ac"/>
        <w:jc w:val="center"/>
        <w:rPr>
          <w:sz w:val="22"/>
          <w:szCs w:val="22"/>
        </w:rPr>
      </w:pPr>
      <w:r>
        <w:t xml:space="preserve">Figure </w:t>
      </w:r>
      <w:r w:rsidR="00691CE9">
        <w:rPr>
          <w:noProof/>
        </w:rPr>
        <w:fldChar w:fldCharType="begin"/>
      </w:r>
      <w:r w:rsidR="00691CE9">
        <w:rPr>
          <w:noProof/>
        </w:rPr>
        <w:instrText xml:space="preserve"> SEQ Figure \* ARABIC </w:instrText>
      </w:r>
      <w:r w:rsidR="00691CE9">
        <w:rPr>
          <w:noProof/>
        </w:rPr>
        <w:fldChar w:fldCharType="separate"/>
      </w:r>
      <w:r w:rsidR="000947B9">
        <w:rPr>
          <w:noProof/>
        </w:rPr>
        <w:t>1</w:t>
      </w:r>
      <w:r w:rsidR="00691CE9">
        <w:rPr>
          <w:noProof/>
        </w:rPr>
        <w:fldChar w:fldCharType="end"/>
      </w:r>
      <w:r>
        <w:t xml:space="preserve">: </w:t>
      </w:r>
      <w:r w:rsidRPr="00D5035B">
        <w:rPr>
          <w:lang w:val="en-US"/>
        </w:rPr>
        <w:t>Representative radio path in woodland with vegetation path</w:t>
      </w:r>
    </w:p>
    <w:p w14:paraId="2E475EAB" w14:textId="275BA7BC" w:rsidR="00353692" w:rsidRDefault="00353692" w:rsidP="00F75D72">
      <w:pPr>
        <w:wordWrap/>
        <w:spacing w:before="60" w:after="60" w:line="288" w:lineRule="auto"/>
        <w:jc w:val="both"/>
        <w:rPr>
          <w:rFonts w:eastAsia="맑은 고딕"/>
          <w:sz w:val="22"/>
          <w:szCs w:val="22"/>
        </w:rPr>
      </w:pPr>
    </w:p>
    <w:p w14:paraId="023EAB12" w14:textId="4A96D138" w:rsidR="00487BC5" w:rsidRDefault="003B7449" w:rsidP="003B7449">
      <w:pPr>
        <w:pStyle w:val="ac"/>
        <w:rPr>
          <w:rFonts w:eastAsia="맑은 고딕"/>
          <w:sz w:val="22"/>
          <w:szCs w:val="22"/>
        </w:rPr>
      </w:pPr>
      <w:bookmarkStart w:id="5" w:name="_Ref53564454"/>
      <w:r w:rsidRPr="003B7449">
        <w:rPr>
          <w:sz w:val="22"/>
          <w:szCs w:val="22"/>
        </w:rPr>
        <w:t xml:space="preserve">Proposal </w:t>
      </w:r>
      <w:r w:rsidRPr="003B7449">
        <w:rPr>
          <w:sz w:val="22"/>
          <w:szCs w:val="22"/>
        </w:rPr>
        <w:fldChar w:fldCharType="begin"/>
      </w:r>
      <w:r w:rsidRPr="003B7449">
        <w:rPr>
          <w:sz w:val="22"/>
          <w:szCs w:val="22"/>
        </w:rPr>
        <w:instrText xml:space="preserve"> SEQ Proposal \* ARABIC </w:instrText>
      </w:r>
      <w:r w:rsidRPr="003B7449">
        <w:rPr>
          <w:sz w:val="22"/>
          <w:szCs w:val="22"/>
        </w:rPr>
        <w:fldChar w:fldCharType="separate"/>
      </w:r>
      <w:r w:rsidR="000947B9">
        <w:rPr>
          <w:noProof/>
          <w:sz w:val="22"/>
          <w:szCs w:val="22"/>
        </w:rPr>
        <w:t>1</w:t>
      </w:r>
      <w:r w:rsidRPr="003B7449">
        <w:rPr>
          <w:sz w:val="22"/>
          <w:szCs w:val="22"/>
        </w:rPr>
        <w:fldChar w:fldCharType="end"/>
      </w:r>
      <w:r>
        <w:rPr>
          <w:sz w:val="22"/>
          <w:szCs w:val="22"/>
        </w:rPr>
        <w:t>:</w:t>
      </w:r>
      <w:r w:rsidRPr="003B7449">
        <w:rPr>
          <w:sz w:val="22"/>
          <w:szCs w:val="22"/>
        </w:rPr>
        <w:t xml:space="preserve"> </w:t>
      </w:r>
      <w:r w:rsidR="00487BC5" w:rsidRPr="003B7449">
        <w:rPr>
          <w:rFonts w:eastAsia="맑은 고딕" w:hint="eastAsia"/>
          <w:sz w:val="22"/>
          <w:szCs w:val="22"/>
        </w:rPr>
        <w:t xml:space="preserve">The </w:t>
      </w:r>
      <w:r w:rsidR="00487BC5" w:rsidRPr="003B7449">
        <w:rPr>
          <w:rFonts w:eastAsia="맑은 고딕"/>
          <w:sz w:val="22"/>
          <w:szCs w:val="22"/>
        </w:rPr>
        <w:t>attenuation loss due to forest is reflected for evaluations.</w:t>
      </w:r>
      <w:bookmarkEnd w:id="5"/>
      <w:r w:rsidR="00487BC5" w:rsidRPr="003B7449">
        <w:rPr>
          <w:rFonts w:eastAsia="맑은 고딕"/>
          <w:sz w:val="22"/>
          <w:szCs w:val="22"/>
        </w:rPr>
        <w:t xml:space="preserve"> </w:t>
      </w:r>
    </w:p>
    <w:p w14:paraId="640AF350" w14:textId="77777777" w:rsidR="003B7449" w:rsidRPr="003B7449" w:rsidRDefault="003B7449" w:rsidP="003B7449">
      <w:pPr>
        <w:rPr>
          <w:lang w:val="en-GB" w:eastAsia="en-US"/>
        </w:rPr>
      </w:pPr>
    </w:p>
    <w:p w14:paraId="1518C402" w14:textId="0EF15B83" w:rsidR="004552E9" w:rsidRDefault="0066323D" w:rsidP="004552E9">
      <w:pPr>
        <w:pStyle w:val="1"/>
      </w:pPr>
      <w:r>
        <w:t>Power control issues</w:t>
      </w:r>
    </w:p>
    <w:p w14:paraId="0A0DBBF6" w14:textId="77777777"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Power control can be categorized into open loop and closed loop depending on whether feedback is applied. For NTN, open loop power control without feedback seems more suitable considering the long propagation delay. For open loop power control, UE should be allowed to adjust/predict its own transmission power not only based on DL measurement, e.g., pathloss measurement but also other available information, such as gNB ephemeris and UE trajectory. </w:t>
      </w:r>
    </w:p>
    <w:p w14:paraId="4BF0950C" w14:textId="1C550FA3" w:rsidR="004552E9" w:rsidRPr="003B7449" w:rsidRDefault="003B7449" w:rsidP="003B7449">
      <w:pPr>
        <w:spacing w:after="240" w:line="276" w:lineRule="auto"/>
        <w:ind w:left="992" w:hangingChars="451" w:hanging="992"/>
        <w:rPr>
          <w:b/>
          <w:sz w:val="22"/>
          <w:szCs w:val="22"/>
          <w:lang w:val="en-GB" w:eastAsia="en-US"/>
        </w:rPr>
      </w:pPr>
      <w:bookmarkStart w:id="6" w:name="_Ref53564456"/>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0947B9">
        <w:rPr>
          <w:b/>
          <w:noProof/>
          <w:sz w:val="22"/>
          <w:szCs w:val="22"/>
        </w:rPr>
        <w:t>2</w:t>
      </w:r>
      <w:r w:rsidRPr="003B7449">
        <w:rPr>
          <w:b/>
          <w:sz w:val="22"/>
          <w:szCs w:val="22"/>
        </w:rPr>
        <w:fldChar w:fldCharType="end"/>
      </w:r>
      <w:r w:rsidRPr="003B7449">
        <w:rPr>
          <w:b/>
          <w:sz w:val="22"/>
          <w:szCs w:val="22"/>
        </w:rPr>
        <w:t xml:space="preserve">. </w:t>
      </w:r>
      <w:r w:rsidR="004552E9" w:rsidRPr="003B7449">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bookmarkEnd w:id="6"/>
    </w:p>
    <w:p w14:paraId="6792CE8A" w14:textId="52C936B3"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Closed loop power control can also be </w:t>
      </w:r>
      <w:r>
        <w:rPr>
          <w:sz w:val="22"/>
          <w:szCs w:val="22"/>
          <w:lang w:val="en-GB" w:eastAsia="en-US"/>
        </w:rPr>
        <w:t>supported</w:t>
      </w:r>
      <w:r w:rsidRPr="004552E9">
        <w:rPr>
          <w:sz w:val="22"/>
          <w:szCs w:val="22"/>
          <w:lang w:val="en-GB" w:eastAsia="en-US"/>
        </w:rPr>
        <w:t xml:space="preserve"> in addition to open loop mechanism. For certain types of NTN, e.g., GEO satellite, it is static relative to the earth. In this case, the change of path loss with respect to time will be slow. Therefore, closed loop (and open loop) power control can benefit if the UE can get the information of what type of the gNB is. Moreover, the distance between the different UEs and the serving gNB actually does not differ much considering the long distance, e.g., 35786 km for GEO satellite. In this regard, the transmission power of different UEs can be adjusted as a group with a reference UE transmission power. In addition, a mechanism to disable closed loop power control should be considered. </w:t>
      </w:r>
    </w:p>
    <w:p w14:paraId="3DB5AF20" w14:textId="757A81ED" w:rsidR="004552E9" w:rsidRDefault="003B7449" w:rsidP="003B7449">
      <w:pPr>
        <w:spacing w:after="240" w:line="276" w:lineRule="auto"/>
        <w:ind w:left="992" w:hangingChars="451" w:hanging="992"/>
        <w:rPr>
          <w:b/>
          <w:sz w:val="22"/>
          <w:szCs w:val="22"/>
          <w:lang w:val="en-GB" w:eastAsia="en-US"/>
        </w:rPr>
      </w:pPr>
      <w:bookmarkStart w:id="7" w:name="_Ref53564458"/>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0947B9">
        <w:rPr>
          <w:b/>
          <w:noProof/>
          <w:sz w:val="22"/>
          <w:szCs w:val="22"/>
        </w:rPr>
        <w:t>3</w:t>
      </w:r>
      <w:r w:rsidRPr="003B7449">
        <w:rPr>
          <w:b/>
          <w:sz w:val="22"/>
          <w:szCs w:val="22"/>
        </w:rPr>
        <w:fldChar w:fldCharType="end"/>
      </w:r>
      <w:r>
        <w:rPr>
          <w:b/>
          <w:sz w:val="22"/>
          <w:szCs w:val="22"/>
        </w:rPr>
        <w:t>:</w:t>
      </w:r>
      <w:r w:rsidRPr="003B7449">
        <w:rPr>
          <w:b/>
          <w:sz w:val="22"/>
          <w:szCs w:val="22"/>
        </w:rPr>
        <w:t xml:space="preserve"> </w:t>
      </w:r>
      <w:r w:rsidR="004552E9" w:rsidRPr="003B7449">
        <w:rPr>
          <w:b/>
          <w:sz w:val="22"/>
          <w:szCs w:val="22"/>
          <w:lang w:val="en-GB" w:eastAsia="en-US"/>
        </w:rPr>
        <w:t>Closed loop power control should be supported in NTN and a mechanism to disable closed loop power control should be considered.</w:t>
      </w:r>
      <w:bookmarkEnd w:id="7"/>
    </w:p>
    <w:p w14:paraId="6B9F89D1" w14:textId="77777777" w:rsidR="003B7449" w:rsidRPr="003B7449" w:rsidRDefault="003B7449" w:rsidP="003B7449">
      <w:pPr>
        <w:spacing w:after="240" w:line="276" w:lineRule="auto"/>
        <w:ind w:left="992" w:hangingChars="451" w:hanging="992"/>
        <w:rPr>
          <w:b/>
          <w:sz w:val="22"/>
          <w:szCs w:val="22"/>
          <w:lang w:val="en-GB" w:eastAsia="en-US"/>
        </w:rPr>
      </w:pPr>
    </w:p>
    <w:p w14:paraId="0EC008A2" w14:textId="2DCA3E40" w:rsidR="0066323D" w:rsidRDefault="0066323D" w:rsidP="0066323D">
      <w:pPr>
        <w:pStyle w:val="1"/>
      </w:pPr>
      <w:r w:rsidRPr="0066323D">
        <w:t>DL Doppler pre-compensation</w:t>
      </w:r>
    </w:p>
    <w:p w14:paraId="02E8708C" w14:textId="77777777" w:rsidR="0066323D" w:rsidRDefault="0066323D" w:rsidP="0066323D">
      <w:pPr>
        <w:wordWrap/>
        <w:jc w:val="both"/>
        <w:rPr>
          <w:rFonts w:eastAsia="맑은 고딕"/>
          <w:color w:val="000000"/>
          <w:sz w:val="22"/>
          <w:szCs w:val="22"/>
        </w:rPr>
      </w:pPr>
      <w:r>
        <w:rPr>
          <w:rFonts w:eastAsia="맑은 고딕"/>
          <w:color w:val="000000"/>
          <w:sz w:val="22"/>
          <w:szCs w:val="22"/>
        </w:rPr>
        <w:t xml:space="preserve">In light of </w:t>
      </w:r>
      <w:r w:rsidRPr="00C80980">
        <w:rPr>
          <w:rFonts w:eastAsia="맑은 고딕"/>
          <w:color w:val="000000"/>
          <w:sz w:val="22"/>
          <w:szCs w:val="22"/>
        </w:rPr>
        <w:t xml:space="preserve">the FO limit </w:t>
      </w:r>
      <w:r>
        <w:rPr>
          <w:rFonts w:eastAsia="맑은 고딕"/>
          <w:color w:val="000000"/>
          <w:sz w:val="22"/>
          <w:szCs w:val="22"/>
        </w:rPr>
        <w:t xml:space="preserve">of </w:t>
      </w:r>
      <w:r w:rsidRPr="00C80980">
        <w:rPr>
          <w:rFonts w:eastAsia="맑은 고딕"/>
          <w:color w:val="000000"/>
          <w:sz w:val="22"/>
          <w:szCs w:val="22"/>
        </w:rPr>
        <w:t>+/-10kHz for DL sync</w:t>
      </w:r>
      <w:r>
        <w:rPr>
          <w:rFonts w:eastAsia="맑은 고딕"/>
          <w:color w:val="000000"/>
          <w:sz w:val="22"/>
          <w:szCs w:val="22"/>
        </w:rPr>
        <w:t>hronization</w:t>
      </w:r>
      <w:r w:rsidRPr="00C80980">
        <w:rPr>
          <w:rFonts w:eastAsia="맑은 고딕"/>
          <w:color w:val="000000"/>
          <w:sz w:val="22"/>
          <w:szCs w:val="22"/>
        </w:rPr>
        <w:t xml:space="preserve"> (w.r.t. 5ppm [</w:t>
      </w:r>
      <w:r>
        <w:rPr>
          <w:rFonts w:eastAsia="맑은 고딕"/>
          <w:color w:val="000000"/>
          <w:sz w:val="22"/>
          <w:szCs w:val="22"/>
        </w:rPr>
        <w:t>2</w:t>
      </w:r>
      <w:r w:rsidRPr="00C80980">
        <w:rPr>
          <w:rFonts w:eastAsia="맑은 고딕"/>
          <w:color w:val="000000"/>
          <w:sz w:val="22"/>
          <w:szCs w:val="22"/>
        </w:rPr>
        <w:t xml:space="preserve">, Section 7.3.2.3.1]), the BS can perform a single-value Doppler pre-compensation targeting the center of </w:t>
      </w:r>
      <w:r>
        <w:rPr>
          <w:rFonts w:eastAsia="맑은 고딕"/>
          <w:color w:val="000000"/>
          <w:sz w:val="22"/>
          <w:szCs w:val="22"/>
        </w:rPr>
        <w:t xml:space="preserve">the </w:t>
      </w:r>
      <w:r w:rsidRPr="00C80980">
        <w:rPr>
          <w:rFonts w:eastAsia="맑은 고딕"/>
          <w:color w:val="000000"/>
          <w:sz w:val="22"/>
          <w:szCs w:val="22"/>
        </w:rPr>
        <w:t>Dop</w:t>
      </w:r>
      <w:r>
        <w:rPr>
          <w:rFonts w:eastAsia="맑은 고딕"/>
          <w:color w:val="000000"/>
          <w:sz w:val="22"/>
          <w:szCs w:val="22"/>
        </w:rPr>
        <w:t xml:space="preserve">pler range among different UEs </w:t>
      </w:r>
      <w:r w:rsidRPr="00C80980">
        <w:rPr>
          <w:rFonts w:eastAsia="맑은 고딕"/>
          <w:color w:val="000000"/>
          <w:sz w:val="22"/>
          <w:szCs w:val="22"/>
        </w:rPr>
        <w:t xml:space="preserve">for </w:t>
      </w:r>
      <w:r>
        <w:rPr>
          <w:rFonts w:eastAsia="맑은 고딕"/>
          <w:color w:val="000000"/>
          <w:sz w:val="22"/>
          <w:szCs w:val="22"/>
        </w:rPr>
        <w:t xml:space="preserve">a </w:t>
      </w:r>
      <w:r w:rsidRPr="00C80980">
        <w:rPr>
          <w:rFonts w:eastAsia="맑은 고딕"/>
          <w:color w:val="000000"/>
          <w:sz w:val="22"/>
          <w:szCs w:val="22"/>
        </w:rPr>
        <w:t xml:space="preserve">spot beam </w:t>
      </w:r>
      <w:r>
        <w:rPr>
          <w:rFonts w:eastAsia="맑은 고딕"/>
          <w:color w:val="000000"/>
          <w:sz w:val="22"/>
          <w:szCs w:val="22"/>
        </w:rPr>
        <w:t xml:space="preserve">size </w:t>
      </w:r>
      <w:r w:rsidRPr="00C80980">
        <w:rPr>
          <w:rFonts w:eastAsia="맑은 고딕"/>
          <w:color w:val="000000"/>
          <w:sz w:val="22"/>
          <w:szCs w:val="22"/>
        </w:rPr>
        <w:t>up to 250km</w:t>
      </w:r>
      <w:r>
        <w:rPr>
          <w:rFonts w:eastAsia="맑은 고딕"/>
          <w:color w:val="000000"/>
          <w:sz w:val="22"/>
          <w:szCs w:val="22"/>
        </w:rPr>
        <w:t>.</w:t>
      </w:r>
    </w:p>
    <w:p w14:paraId="2A324CE1" w14:textId="77777777" w:rsidR="0066323D" w:rsidRDefault="0066323D" w:rsidP="0066323D">
      <w:pPr>
        <w:wordWrap/>
        <w:jc w:val="both"/>
        <w:rPr>
          <w:rFonts w:eastAsia="맑은 고딕"/>
          <w:color w:val="000000"/>
          <w:sz w:val="22"/>
          <w:szCs w:val="22"/>
        </w:rPr>
      </w:pPr>
    </w:p>
    <w:p w14:paraId="66BC190C" w14:textId="77777777" w:rsidR="0066323D" w:rsidRDefault="0066323D" w:rsidP="0066323D">
      <w:pPr>
        <w:wordWrap/>
        <w:jc w:val="both"/>
        <w:rPr>
          <w:rFonts w:eastAsia="맑은 고딕"/>
          <w:color w:val="000000"/>
          <w:sz w:val="22"/>
          <w:szCs w:val="22"/>
        </w:rPr>
      </w:pPr>
      <w:r>
        <w:rPr>
          <w:rFonts w:eastAsia="맑은 고딕"/>
          <w:color w:val="000000"/>
          <w:sz w:val="22"/>
          <w:szCs w:val="22"/>
        </w:rPr>
        <w:t>For larger spot beam sizes, though, this approach may be insufficient in light of the above-mentioned FO limit.  Table 2 shows the maximum Doppler difference between UEs for a range of spot beam sizes.</w:t>
      </w:r>
    </w:p>
    <w:p w14:paraId="5919D2E0" w14:textId="77777777" w:rsidR="0066323D" w:rsidRDefault="0066323D" w:rsidP="0066323D">
      <w:pPr>
        <w:wordWrap/>
        <w:jc w:val="both"/>
        <w:rPr>
          <w:rFonts w:eastAsia="맑은 고딕"/>
          <w:color w:val="000000"/>
          <w:sz w:val="22"/>
          <w:szCs w:val="22"/>
        </w:rPr>
      </w:pPr>
    </w:p>
    <w:tbl>
      <w:tblPr>
        <w:tblStyle w:val="aff"/>
        <w:tblW w:w="0" w:type="auto"/>
        <w:tblLook w:val="04A0" w:firstRow="1" w:lastRow="0" w:firstColumn="1" w:lastColumn="0" w:noHBand="0" w:noVBand="1"/>
      </w:tblPr>
      <w:tblGrid>
        <w:gridCol w:w="3210"/>
        <w:gridCol w:w="3210"/>
        <w:gridCol w:w="3211"/>
      </w:tblGrid>
      <w:tr w:rsidR="0066323D" w14:paraId="2F1180F0" w14:textId="77777777" w:rsidTr="00171942">
        <w:tc>
          <w:tcPr>
            <w:tcW w:w="3210" w:type="dxa"/>
            <w:vAlign w:val="center"/>
          </w:tcPr>
          <w:p w14:paraId="4EBBBC55"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fc (GHz)</w:t>
            </w:r>
          </w:p>
        </w:tc>
        <w:tc>
          <w:tcPr>
            <w:tcW w:w="3210" w:type="dxa"/>
            <w:vAlign w:val="center"/>
          </w:tcPr>
          <w:p w14:paraId="1334E45F"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spot beam size (km)</w:t>
            </w:r>
          </w:p>
        </w:tc>
        <w:tc>
          <w:tcPr>
            <w:tcW w:w="3211" w:type="dxa"/>
            <w:vAlign w:val="center"/>
          </w:tcPr>
          <w:p w14:paraId="6F29BBA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maximum Doppler difference between UEs (kHz)</w:t>
            </w:r>
          </w:p>
        </w:tc>
      </w:tr>
      <w:tr w:rsidR="0066323D" w14:paraId="04DF7FD2" w14:textId="77777777" w:rsidTr="00171942">
        <w:tc>
          <w:tcPr>
            <w:tcW w:w="3210" w:type="dxa"/>
            <w:vAlign w:val="center"/>
          </w:tcPr>
          <w:p w14:paraId="4D8C4DB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A8ED0E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50</w:t>
            </w:r>
          </w:p>
        </w:tc>
        <w:tc>
          <w:tcPr>
            <w:tcW w:w="3211" w:type="dxa"/>
            <w:vAlign w:val="center"/>
          </w:tcPr>
          <w:p w14:paraId="73F123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4.185</w:t>
            </w:r>
          </w:p>
        </w:tc>
      </w:tr>
      <w:tr w:rsidR="0066323D" w14:paraId="3F42435D" w14:textId="77777777" w:rsidTr="00171942">
        <w:tc>
          <w:tcPr>
            <w:tcW w:w="3210" w:type="dxa"/>
            <w:vAlign w:val="center"/>
          </w:tcPr>
          <w:p w14:paraId="0D3742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BF29C9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200</w:t>
            </w:r>
          </w:p>
        </w:tc>
        <w:tc>
          <w:tcPr>
            <w:tcW w:w="3211" w:type="dxa"/>
            <w:vAlign w:val="center"/>
          </w:tcPr>
          <w:p w14:paraId="456E9B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15.87</w:t>
            </w:r>
          </w:p>
        </w:tc>
      </w:tr>
      <w:tr w:rsidR="0066323D" w14:paraId="04846426" w14:textId="77777777" w:rsidTr="00171942">
        <w:tc>
          <w:tcPr>
            <w:tcW w:w="3210" w:type="dxa"/>
            <w:vAlign w:val="center"/>
          </w:tcPr>
          <w:p w14:paraId="6C1F22B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0183E8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250</w:t>
            </w:r>
          </w:p>
        </w:tc>
        <w:tc>
          <w:tcPr>
            <w:tcW w:w="3211" w:type="dxa"/>
            <w:vAlign w:val="center"/>
          </w:tcPr>
          <w:p w14:paraId="3C6EDF9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19.25</w:t>
            </w:r>
          </w:p>
        </w:tc>
      </w:tr>
      <w:tr w:rsidR="0066323D" w14:paraId="02AE9938" w14:textId="77777777" w:rsidTr="00171942">
        <w:tc>
          <w:tcPr>
            <w:tcW w:w="3210" w:type="dxa"/>
            <w:vAlign w:val="center"/>
          </w:tcPr>
          <w:p w14:paraId="6602BEE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26267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300</w:t>
            </w:r>
          </w:p>
        </w:tc>
        <w:tc>
          <w:tcPr>
            <w:tcW w:w="3211" w:type="dxa"/>
            <w:vAlign w:val="center"/>
          </w:tcPr>
          <w:p w14:paraId="641B3434" w14:textId="77777777" w:rsidR="0066323D" w:rsidRDefault="0066323D" w:rsidP="00171942">
            <w:pPr>
              <w:wordWrap/>
              <w:spacing w:after="0"/>
              <w:jc w:val="center"/>
              <w:rPr>
                <w:rFonts w:eastAsia="맑은 고딕"/>
                <w:color w:val="000000"/>
                <w:sz w:val="22"/>
                <w:szCs w:val="22"/>
              </w:rPr>
            </w:pPr>
            <w:r>
              <w:rPr>
                <w:rFonts w:eastAsia="맑은 고딕"/>
                <w:color w:val="FF0000"/>
                <w:sz w:val="22"/>
                <w:szCs w:val="22"/>
              </w:rPr>
              <w:t>22.33</w:t>
            </w:r>
          </w:p>
        </w:tc>
      </w:tr>
      <w:tr w:rsidR="0066323D" w14:paraId="3C60B9D8" w14:textId="77777777" w:rsidTr="00171942">
        <w:tc>
          <w:tcPr>
            <w:tcW w:w="3210" w:type="dxa"/>
            <w:vAlign w:val="center"/>
          </w:tcPr>
          <w:p w14:paraId="7F38A32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3AD7F6A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 600</w:t>
            </w:r>
          </w:p>
        </w:tc>
        <w:tc>
          <w:tcPr>
            <w:tcW w:w="3211" w:type="dxa"/>
            <w:vAlign w:val="center"/>
          </w:tcPr>
          <w:p w14:paraId="0A1E02DE" w14:textId="77777777" w:rsidR="0066323D" w:rsidRDefault="0066323D" w:rsidP="00171942">
            <w:pPr>
              <w:keepNext/>
              <w:wordWrap/>
              <w:spacing w:after="0"/>
              <w:jc w:val="center"/>
              <w:rPr>
                <w:rFonts w:eastAsia="맑은 고딕"/>
                <w:color w:val="000000"/>
                <w:sz w:val="22"/>
                <w:szCs w:val="22"/>
              </w:rPr>
            </w:pPr>
            <w:r>
              <w:rPr>
                <w:rFonts w:eastAsia="맑은 고딕"/>
                <w:color w:val="FF0000"/>
                <w:sz w:val="22"/>
                <w:szCs w:val="22"/>
              </w:rPr>
              <w:t>~ 45</w:t>
            </w:r>
          </w:p>
        </w:tc>
      </w:tr>
    </w:tbl>
    <w:p w14:paraId="65C659F9" w14:textId="77777777" w:rsidR="0066323D" w:rsidRPr="000310ED" w:rsidRDefault="0066323D" w:rsidP="0066323D">
      <w:pPr>
        <w:pStyle w:val="ac"/>
        <w:wordWrap/>
        <w:spacing w:before="0" w:after="0"/>
        <w:jc w:val="center"/>
        <w:rPr>
          <w:rFonts w:eastAsia="맑은 고딕"/>
          <w:color w:val="000000"/>
          <w:sz w:val="18"/>
          <w:szCs w:val="18"/>
        </w:rPr>
      </w:pPr>
      <w:r w:rsidRPr="000310ED">
        <w:rPr>
          <w:sz w:val="18"/>
          <w:szCs w:val="18"/>
        </w:rPr>
        <w:t>Table</w:t>
      </w:r>
      <w:r>
        <w:rPr>
          <w:sz w:val="18"/>
          <w:szCs w:val="18"/>
        </w:rPr>
        <w:t xml:space="preserve"> 2</w:t>
      </w:r>
      <w:r w:rsidRPr="000310ED">
        <w:rPr>
          <w:sz w:val="18"/>
          <w:szCs w:val="18"/>
        </w:rPr>
        <w:t>: Maximum Doppler difference between UEs</w:t>
      </w:r>
    </w:p>
    <w:p w14:paraId="0576A2BE" w14:textId="77777777" w:rsidR="0066323D" w:rsidRDefault="0066323D" w:rsidP="0066323D">
      <w:pPr>
        <w:wordWrap/>
        <w:jc w:val="both"/>
        <w:rPr>
          <w:rFonts w:eastAsia="맑은 고딕"/>
          <w:b/>
          <w:color w:val="000000"/>
          <w:sz w:val="22"/>
          <w:szCs w:val="22"/>
        </w:rPr>
      </w:pPr>
    </w:p>
    <w:p w14:paraId="334DFB1C" w14:textId="78395F8C" w:rsidR="0066323D" w:rsidRPr="003B7449" w:rsidRDefault="003B7449" w:rsidP="003B7449">
      <w:pPr>
        <w:pStyle w:val="ac"/>
        <w:ind w:left="1417" w:hangingChars="644" w:hanging="1417"/>
        <w:rPr>
          <w:rFonts w:eastAsia="맑은 고딕"/>
          <w:color w:val="000000"/>
          <w:sz w:val="22"/>
          <w:szCs w:val="22"/>
        </w:rPr>
      </w:pPr>
      <w:bookmarkStart w:id="8" w:name="_Ref53564431"/>
      <w:r w:rsidRPr="003B7449">
        <w:rPr>
          <w:sz w:val="22"/>
          <w:szCs w:val="22"/>
        </w:rPr>
        <w:t xml:space="preserve">Observation </w:t>
      </w:r>
      <w:r w:rsidRPr="003B7449">
        <w:rPr>
          <w:sz w:val="22"/>
          <w:szCs w:val="22"/>
        </w:rPr>
        <w:fldChar w:fldCharType="begin"/>
      </w:r>
      <w:r w:rsidRPr="003B7449">
        <w:rPr>
          <w:sz w:val="22"/>
          <w:szCs w:val="22"/>
        </w:rPr>
        <w:instrText xml:space="preserve"> SEQ Observation \* ARABIC </w:instrText>
      </w:r>
      <w:r w:rsidRPr="003B7449">
        <w:rPr>
          <w:sz w:val="22"/>
          <w:szCs w:val="22"/>
        </w:rPr>
        <w:fldChar w:fldCharType="separate"/>
      </w:r>
      <w:r w:rsidR="000947B9">
        <w:rPr>
          <w:noProof/>
          <w:sz w:val="22"/>
          <w:szCs w:val="22"/>
        </w:rPr>
        <w:t>1</w:t>
      </w:r>
      <w:r w:rsidRPr="003B7449">
        <w:rPr>
          <w:sz w:val="22"/>
          <w:szCs w:val="22"/>
        </w:rPr>
        <w:fldChar w:fldCharType="end"/>
      </w:r>
      <w:r w:rsidR="0066323D" w:rsidRPr="003B7449">
        <w:rPr>
          <w:rFonts w:eastAsia="맑은 고딕"/>
          <w:color w:val="000000"/>
          <w:sz w:val="22"/>
          <w:szCs w:val="22"/>
        </w:rPr>
        <w:t>: For a spot beam size that exceeds 250 km, a BS may need to perform a multi-valued Doppler pre-compensation; e.g. it may need to group distinct sets of SSBs using distinct Doppler values for pre-compensation.</w:t>
      </w:r>
      <w:bookmarkEnd w:id="8"/>
    </w:p>
    <w:p w14:paraId="51A741D4" w14:textId="77777777" w:rsidR="0066323D" w:rsidRDefault="0066323D" w:rsidP="0066323D">
      <w:pPr>
        <w:jc w:val="both"/>
        <w:rPr>
          <w:rFonts w:eastAsia="맑은 고딕"/>
          <w:color w:val="000000"/>
          <w:sz w:val="22"/>
          <w:szCs w:val="22"/>
        </w:rPr>
      </w:pPr>
    </w:p>
    <w:p w14:paraId="189547FF" w14:textId="77777777" w:rsidR="0066323D" w:rsidRPr="00C4481A" w:rsidRDefault="0066323D" w:rsidP="0066323D">
      <w:pPr>
        <w:jc w:val="both"/>
        <w:rPr>
          <w:rFonts w:eastAsia="맑은 고딕"/>
          <w:color w:val="000000"/>
          <w:sz w:val="22"/>
          <w:szCs w:val="22"/>
        </w:rPr>
      </w:pPr>
      <w:r>
        <w:rPr>
          <w:rFonts w:eastAsia="맑은 고딕"/>
          <w:color w:val="000000"/>
          <w:sz w:val="22"/>
          <w:szCs w:val="22"/>
        </w:rPr>
        <w:t xml:space="preserve">Figure 2 shows an example of that solution, </w:t>
      </w:r>
      <w:r w:rsidRPr="00C4481A">
        <w:rPr>
          <w:rFonts w:eastAsia="맑은 고딕"/>
          <w:color w:val="000000"/>
          <w:sz w:val="22"/>
          <w:szCs w:val="22"/>
        </w:rPr>
        <w:t xml:space="preserve">where </w:t>
      </w:r>
      <w:r>
        <w:rPr>
          <w:rFonts w:eastAsia="맑은 고딕"/>
          <w:color w:val="000000"/>
          <w:sz w:val="22"/>
          <w:szCs w:val="22"/>
        </w:rPr>
        <w:t xml:space="preserve">the </w:t>
      </w:r>
      <w:r w:rsidRPr="00C4481A">
        <w:rPr>
          <w:rFonts w:eastAsia="맑은 고딕"/>
          <w:color w:val="000000"/>
          <w:sz w:val="22"/>
          <w:szCs w:val="22"/>
        </w:rPr>
        <w:t xml:space="preserve">BS pre-compensates multiple </w:t>
      </w:r>
      <w:r>
        <w:rPr>
          <w:rFonts w:eastAsia="맑은 고딕"/>
          <w:color w:val="000000"/>
          <w:sz w:val="22"/>
          <w:szCs w:val="22"/>
        </w:rPr>
        <w:t xml:space="preserve">Doppler </w:t>
      </w:r>
      <w:r w:rsidRPr="00C4481A">
        <w:rPr>
          <w:rFonts w:eastAsia="맑은 고딕"/>
          <w:color w:val="000000"/>
          <w:sz w:val="22"/>
          <w:szCs w:val="22"/>
        </w:rPr>
        <w:t>values within each spot beam to reduce the max</w:t>
      </w:r>
      <w:r>
        <w:rPr>
          <w:rFonts w:eastAsia="맑은 고딕"/>
          <w:color w:val="000000"/>
          <w:sz w:val="22"/>
          <w:szCs w:val="22"/>
        </w:rPr>
        <w:t>imum</w:t>
      </w:r>
      <w:r w:rsidRPr="00C4481A">
        <w:rPr>
          <w:rFonts w:eastAsia="맑은 고딕"/>
          <w:color w:val="000000"/>
          <w:sz w:val="22"/>
          <w:szCs w:val="22"/>
        </w:rPr>
        <w:t xml:space="preserve"> frequency offset</w:t>
      </w:r>
      <w:r>
        <w:rPr>
          <w:rFonts w:eastAsia="맑은 고딕"/>
          <w:color w:val="000000"/>
          <w:sz w:val="22"/>
          <w:szCs w:val="22"/>
        </w:rPr>
        <w:t xml:space="preserve"> in each spot beam.</w:t>
      </w:r>
    </w:p>
    <w:p w14:paraId="31F7BD48" w14:textId="77777777" w:rsidR="0066323D" w:rsidRDefault="0066323D" w:rsidP="0066323D">
      <w:pPr>
        <w:jc w:val="both"/>
        <w:rPr>
          <w:rFonts w:eastAsia="맑은 고딕"/>
          <w:color w:val="000000"/>
          <w:sz w:val="22"/>
          <w:szCs w:val="22"/>
        </w:rPr>
      </w:pPr>
    </w:p>
    <w:p w14:paraId="08253D1D" w14:textId="77777777" w:rsidR="0066323D" w:rsidRDefault="0066323D" w:rsidP="0066323D">
      <w:pPr>
        <w:keepNext/>
        <w:jc w:val="center"/>
      </w:pPr>
      <w:r>
        <w:rPr>
          <w:rFonts w:eastAsia="맑은 고딕"/>
          <w:noProof/>
          <w:color w:val="000000"/>
          <w:sz w:val="22"/>
          <w:szCs w:val="22"/>
        </w:rPr>
        <w:drawing>
          <wp:inline distT="0" distB="0" distL="0" distR="0" wp14:anchorId="095C8329" wp14:editId="3D2065A1">
            <wp:extent cx="4041648" cy="18836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doppler_precompensation.png"/>
                    <pic:cNvPicPr/>
                  </pic:nvPicPr>
                  <pic:blipFill>
                    <a:blip r:embed="rId9">
                      <a:extLst>
                        <a:ext uri="{28A0092B-C50C-407E-A947-70E740481C1C}">
                          <a14:useLocalDpi xmlns:a14="http://schemas.microsoft.com/office/drawing/2010/main" val="0"/>
                        </a:ext>
                      </a:extLst>
                    </a:blip>
                    <a:stretch>
                      <a:fillRect/>
                    </a:stretch>
                  </pic:blipFill>
                  <pic:spPr>
                    <a:xfrm>
                      <a:off x="0" y="0"/>
                      <a:ext cx="4041648" cy="1883664"/>
                    </a:xfrm>
                    <a:prstGeom prst="rect">
                      <a:avLst/>
                    </a:prstGeom>
                  </pic:spPr>
                </pic:pic>
              </a:graphicData>
            </a:graphic>
          </wp:inline>
        </w:drawing>
      </w:r>
    </w:p>
    <w:p w14:paraId="17A63FBA" w14:textId="77777777" w:rsidR="0066323D" w:rsidRPr="00A127E5" w:rsidRDefault="0066323D" w:rsidP="0066323D">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2</w:t>
      </w:r>
      <w:r w:rsidRPr="00A127E5">
        <w:rPr>
          <w:sz w:val="18"/>
          <w:szCs w:val="18"/>
        </w:rPr>
        <w:t xml:space="preserve">: </w:t>
      </w:r>
      <w:r>
        <w:rPr>
          <w:sz w:val="18"/>
          <w:szCs w:val="18"/>
        </w:rPr>
        <w:t xml:space="preserve">Multi-valued </w:t>
      </w:r>
      <w:r w:rsidRPr="00A127E5">
        <w:rPr>
          <w:sz w:val="18"/>
          <w:szCs w:val="18"/>
        </w:rPr>
        <w:t>Doppler pre-compensation</w:t>
      </w:r>
    </w:p>
    <w:p w14:paraId="5FE79344" w14:textId="77777777" w:rsidR="0066323D" w:rsidRDefault="0066323D" w:rsidP="0066323D">
      <w:pPr>
        <w:wordWrap/>
        <w:jc w:val="both"/>
        <w:rPr>
          <w:rFonts w:eastAsia="맑은 고딕"/>
          <w:color w:val="000000"/>
          <w:sz w:val="22"/>
          <w:szCs w:val="22"/>
        </w:rPr>
      </w:pPr>
    </w:p>
    <w:p w14:paraId="52098998" w14:textId="29E67C8A" w:rsidR="0066323D" w:rsidRPr="003B7449" w:rsidRDefault="003B7449" w:rsidP="0066323D">
      <w:pPr>
        <w:wordWrap/>
        <w:jc w:val="both"/>
        <w:rPr>
          <w:rFonts w:eastAsia="맑은 고딕"/>
          <w:b/>
          <w:color w:val="000000"/>
          <w:sz w:val="22"/>
          <w:szCs w:val="22"/>
        </w:rPr>
      </w:pPr>
      <w:bookmarkStart w:id="9" w:name="_Ref53564435"/>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0947B9">
        <w:rPr>
          <w:b/>
          <w:noProof/>
          <w:sz w:val="22"/>
          <w:szCs w:val="22"/>
        </w:rPr>
        <w:t>2</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idle UE cell reselection.</w:t>
      </w:r>
      <w:bookmarkEnd w:id="9"/>
    </w:p>
    <w:p w14:paraId="52F069A7" w14:textId="77777777" w:rsidR="0066323D" w:rsidRDefault="0066323D" w:rsidP="0066323D">
      <w:pPr>
        <w:wordWrap/>
        <w:jc w:val="both"/>
        <w:rPr>
          <w:rFonts w:eastAsia="맑은 고딕"/>
          <w:color w:val="000000"/>
          <w:sz w:val="22"/>
          <w:szCs w:val="22"/>
        </w:rPr>
      </w:pPr>
    </w:p>
    <w:p w14:paraId="6C1218E9" w14:textId="77777777" w:rsidR="0066323D" w:rsidRPr="00A50E3E" w:rsidRDefault="0066323D" w:rsidP="0066323D">
      <w:pPr>
        <w:jc w:val="both"/>
        <w:rPr>
          <w:rFonts w:eastAsia="맑은 고딕"/>
          <w:color w:val="000000"/>
          <w:sz w:val="22"/>
          <w:szCs w:val="22"/>
        </w:rPr>
      </w:pPr>
      <w:r>
        <w:rPr>
          <w:rFonts w:eastAsia="맑은 고딕"/>
          <w:color w:val="000000"/>
          <w:sz w:val="22"/>
          <w:szCs w:val="22"/>
        </w:rPr>
        <w:t xml:space="preserve">The </w:t>
      </w:r>
      <w:r w:rsidRPr="00FA0581">
        <w:rPr>
          <w:rFonts w:eastAsia="맑은 고딕"/>
          <w:color w:val="000000"/>
          <w:sz w:val="22"/>
          <w:szCs w:val="22"/>
        </w:rPr>
        <w:t>UE regularly perform</w:t>
      </w:r>
      <w:r>
        <w:rPr>
          <w:rFonts w:eastAsia="맑은 고딕"/>
          <w:color w:val="000000"/>
          <w:sz w:val="22"/>
          <w:szCs w:val="22"/>
        </w:rPr>
        <w:t>s</w:t>
      </w:r>
      <w:r w:rsidRPr="00FA0581">
        <w:rPr>
          <w:rFonts w:eastAsia="맑은 고딕"/>
          <w:color w:val="000000"/>
          <w:sz w:val="22"/>
          <w:szCs w:val="22"/>
        </w:rPr>
        <w:t xml:space="preserve"> intra-frequency a</w:t>
      </w:r>
      <w:r>
        <w:rPr>
          <w:rFonts w:eastAsia="맑은 고딕"/>
          <w:color w:val="000000"/>
          <w:sz w:val="22"/>
          <w:szCs w:val="22"/>
        </w:rPr>
        <w:t xml:space="preserve">nd inter-frequency measurements, including RSRP and/or RSRQ, to enable </w:t>
      </w:r>
      <w:r w:rsidRPr="00FA0581">
        <w:rPr>
          <w:rFonts w:eastAsia="맑은 고딕"/>
          <w:color w:val="000000"/>
          <w:sz w:val="22"/>
          <w:szCs w:val="22"/>
        </w:rPr>
        <w:t>cell reselection.</w:t>
      </w:r>
      <w:r>
        <w:rPr>
          <w:rFonts w:eastAsia="맑은 고딕"/>
          <w:color w:val="000000"/>
          <w:sz w:val="22"/>
          <w:szCs w:val="22"/>
        </w:rPr>
        <w:t xml:space="preserve">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for SSB-based DL sync</w:t>
      </w:r>
      <w:r>
        <w:rPr>
          <w:rFonts w:eastAsia="맑은 고딕"/>
          <w:color w:val="000000"/>
          <w:sz w:val="22"/>
          <w:szCs w:val="22"/>
        </w:rPr>
        <w:t xml:space="preserve">hronization – thereby improving its </w:t>
      </w:r>
      <w:r w:rsidRPr="00FA0581">
        <w:rPr>
          <w:rFonts w:eastAsia="맑은 고딕"/>
          <w:color w:val="000000"/>
          <w:sz w:val="22"/>
          <w:szCs w:val="22"/>
        </w:rPr>
        <w:t xml:space="preserve">timing and FO estimation, as well as </w:t>
      </w:r>
      <w:r>
        <w:rPr>
          <w:rFonts w:eastAsia="맑은 고딕"/>
          <w:color w:val="000000"/>
          <w:sz w:val="22"/>
          <w:szCs w:val="22"/>
        </w:rPr>
        <w:t>the accuracy of its RSRP measurements.</w:t>
      </w:r>
    </w:p>
    <w:p w14:paraId="0D529C68" w14:textId="77777777" w:rsidR="0066323D" w:rsidRPr="00FA0581" w:rsidRDefault="0066323D" w:rsidP="0066323D">
      <w:pPr>
        <w:wordWrap/>
        <w:jc w:val="both"/>
        <w:rPr>
          <w:rFonts w:eastAsia="맑은 고딕"/>
          <w:color w:val="000000"/>
          <w:sz w:val="22"/>
          <w:szCs w:val="22"/>
        </w:rPr>
      </w:pPr>
    </w:p>
    <w:p w14:paraId="3546FBB4" w14:textId="1C517E82" w:rsidR="0066323D" w:rsidRPr="003B7449" w:rsidRDefault="003B7449" w:rsidP="0066323D">
      <w:pPr>
        <w:wordWrap/>
        <w:jc w:val="both"/>
        <w:rPr>
          <w:rFonts w:eastAsia="맑은 고딕"/>
          <w:b/>
          <w:color w:val="000000"/>
          <w:sz w:val="22"/>
          <w:szCs w:val="22"/>
        </w:rPr>
      </w:pPr>
      <w:bookmarkStart w:id="10" w:name="_Ref53564439"/>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0947B9">
        <w:rPr>
          <w:b/>
          <w:noProof/>
          <w:sz w:val="22"/>
          <w:szCs w:val="22"/>
        </w:rPr>
        <w:t>3</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handover.</w:t>
      </w:r>
      <w:bookmarkEnd w:id="10"/>
    </w:p>
    <w:p w14:paraId="7F32EB86" w14:textId="77777777" w:rsidR="0066323D" w:rsidRDefault="0066323D" w:rsidP="0066323D">
      <w:pPr>
        <w:wordWrap/>
        <w:jc w:val="both"/>
        <w:rPr>
          <w:rFonts w:eastAsia="맑은 고딕"/>
          <w:color w:val="000000"/>
          <w:sz w:val="22"/>
          <w:szCs w:val="22"/>
        </w:rPr>
      </w:pPr>
    </w:p>
    <w:p w14:paraId="5F826A4A" w14:textId="77777777" w:rsidR="0066323D" w:rsidRPr="00FA0581" w:rsidRDefault="0066323D" w:rsidP="0066323D">
      <w:pPr>
        <w:wordWrap/>
        <w:jc w:val="both"/>
        <w:rPr>
          <w:rFonts w:eastAsia="맑은 고딕"/>
          <w:color w:val="000000"/>
          <w:sz w:val="22"/>
          <w:szCs w:val="22"/>
        </w:rPr>
      </w:pPr>
      <w:r>
        <w:rPr>
          <w:rFonts w:eastAsia="맑은 고딕"/>
          <w:color w:val="000000"/>
          <w:sz w:val="22"/>
          <w:szCs w:val="22"/>
        </w:rPr>
        <w:t>The UE may perform SSB-</w:t>
      </w:r>
      <w:r w:rsidRPr="00FA0581">
        <w:rPr>
          <w:rFonts w:eastAsia="맑은 고딕"/>
          <w:color w:val="000000"/>
          <w:sz w:val="22"/>
          <w:szCs w:val="22"/>
        </w:rPr>
        <w:t>based measurement</w:t>
      </w:r>
      <w:r>
        <w:rPr>
          <w:rFonts w:eastAsia="맑은 고딕"/>
          <w:color w:val="000000"/>
          <w:sz w:val="22"/>
          <w:szCs w:val="22"/>
        </w:rPr>
        <w:t>s</w:t>
      </w:r>
      <w:r w:rsidRPr="00FA0581">
        <w:rPr>
          <w:rFonts w:eastAsia="맑은 고딕"/>
          <w:color w:val="000000"/>
          <w:sz w:val="22"/>
          <w:szCs w:val="22"/>
        </w:rPr>
        <w:t xml:space="preserve"> </w:t>
      </w:r>
      <w:r>
        <w:rPr>
          <w:rFonts w:eastAsia="맑은 고딕"/>
          <w:color w:val="000000"/>
          <w:sz w:val="22"/>
          <w:szCs w:val="22"/>
        </w:rPr>
        <w:t xml:space="preserve">to enable cell </w:t>
      </w:r>
      <w:r w:rsidRPr="00FA0581">
        <w:rPr>
          <w:rFonts w:eastAsia="맑은 고딕"/>
          <w:color w:val="000000"/>
          <w:sz w:val="22"/>
          <w:szCs w:val="22"/>
        </w:rPr>
        <w:t>handover</w:t>
      </w:r>
      <w:r>
        <w:rPr>
          <w:rFonts w:eastAsia="맑은 고딕"/>
          <w:color w:val="000000"/>
          <w:sz w:val="22"/>
          <w:szCs w:val="22"/>
        </w:rPr>
        <w:t>.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of SSB</w:t>
      </w:r>
      <w:r>
        <w:rPr>
          <w:rFonts w:eastAsia="맑은 고딕"/>
          <w:color w:val="000000"/>
          <w:sz w:val="22"/>
          <w:szCs w:val="22"/>
        </w:rPr>
        <w:t>s – thereby improving the accuracy of its measurements.</w:t>
      </w:r>
    </w:p>
    <w:p w14:paraId="29348767" w14:textId="77777777" w:rsidR="0066323D" w:rsidRDefault="0066323D" w:rsidP="0066323D">
      <w:pPr>
        <w:wordWrap/>
        <w:jc w:val="both"/>
        <w:rPr>
          <w:rFonts w:eastAsia="맑은 고딕"/>
          <w:color w:val="000000"/>
          <w:sz w:val="22"/>
          <w:szCs w:val="22"/>
        </w:rPr>
      </w:pPr>
    </w:p>
    <w:p w14:paraId="5F3B512F" w14:textId="46D1E38F" w:rsidR="0066323D" w:rsidRPr="003B7449" w:rsidRDefault="003B7449" w:rsidP="003B7449">
      <w:pPr>
        <w:wordWrap/>
        <w:ind w:left="1417" w:hangingChars="644" w:hanging="1417"/>
        <w:jc w:val="both"/>
        <w:rPr>
          <w:rFonts w:eastAsia="맑은 고딕"/>
          <w:b/>
          <w:color w:val="000000"/>
          <w:sz w:val="22"/>
          <w:szCs w:val="22"/>
        </w:rPr>
      </w:pPr>
      <w:bookmarkStart w:id="11" w:name="_Ref53564441"/>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0947B9">
        <w:rPr>
          <w:b/>
          <w:noProof/>
          <w:sz w:val="22"/>
          <w:szCs w:val="22"/>
        </w:rPr>
        <w:t>4</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data channel reception.</w:t>
      </w:r>
      <w:bookmarkEnd w:id="11"/>
    </w:p>
    <w:p w14:paraId="01A65EF4" w14:textId="77777777" w:rsidR="0066323D" w:rsidRPr="00FA0581" w:rsidRDefault="0066323D" w:rsidP="0066323D">
      <w:pPr>
        <w:wordWrap/>
        <w:jc w:val="both"/>
        <w:rPr>
          <w:rFonts w:eastAsia="맑은 고딕"/>
          <w:color w:val="000000"/>
          <w:sz w:val="22"/>
          <w:szCs w:val="22"/>
        </w:rPr>
      </w:pPr>
    </w:p>
    <w:p w14:paraId="6695792D" w14:textId="77777777" w:rsidR="0066323D" w:rsidRPr="00C80980" w:rsidRDefault="0066323D" w:rsidP="0066323D">
      <w:pPr>
        <w:wordWrap/>
        <w:jc w:val="both"/>
        <w:rPr>
          <w:rFonts w:eastAsia="맑은 고딕"/>
          <w:color w:val="000000"/>
          <w:sz w:val="22"/>
          <w:szCs w:val="22"/>
        </w:rPr>
      </w:pPr>
      <w:r w:rsidRPr="00FA0581">
        <w:rPr>
          <w:rFonts w:eastAsia="맑은 고딕"/>
          <w:color w:val="000000"/>
          <w:sz w:val="22"/>
          <w:szCs w:val="22"/>
        </w:rPr>
        <w:t>Scheduli</w:t>
      </w:r>
      <w:r>
        <w:rPr>
          <w:rFonts w:eastAsia="맑은 고딕"/>
          <w:color w:val="000000"/>
          <w:sz w:val="22"/>
          <w:szCs w:val="22"/>
        </w:rPr>
        <w:t xml:space="preserve">ng flexibility can be improved </w:t>
      </w:r>
      <w:r w:rsidRPr="00FA0581">
        <w:rPr>
          <w:rFonts w:eastAsia="맑은 고딕"/>
          <w:color w:val="000000"/>
          <w:sz w:val="22"/>
          <w:szCs w:val="22"/>
        </w:rPr>
        <w:t xml:space="preserve">by enabling </w:t>
      </w:r>
      <w:r>
        <w:rPr>
          <w:rFonts w:eastAsia="맑은 고딕"/>
          <w:color w:val="000000"/>
          <w:sz w:val="22"/>
          <w:szCs w:val="22"/>
        </w:rPr>
        <w:t>UEs to be scheduled at any slot, as the BS would indicate t</w:t>
      </w:r>
      <w:r w:rsidRPr="00FA0581">
        <w:rPr>
          <w:rFonts w:eastAsia="맑은 고딕"/>
          <w:color w:val="000000"/>
          <w:sz w:val="22"/>
          <w:szCs w:val="22"/>
        </w:rPr>
        <w:t xml:space="preserve">he Doppler value to be pre-compensated at </w:t>
      </w:r>
      <w:r>
        <w:rPr>
          <w:rFonts w:eastAsia="맑은 고딕"/>
          <w:color w:val="000000"/>
          <w:sz w:val="22"/>
          <w:szCs w:val="22"/>
        </w:rPr>
        <w:t>that</w:t>
      </w:r>
      <w:r w:rsidRPr="00FA0581">
        <w:rPr>
          <w:rFonts w:eastAsia="맑은 고딕"/>
          <w:color w:val="000000"/>
          <w:sz w:val="22"/>
          <w:szCs w:val="22"/>
        </w:rPr>
        <w:t xml:space="preserve"> slot</w:t>
      </w:r>
      <w:r>
        <w:rPr>
          <w:rFonts w:eastAsia="맑은 고딕"/>
          <w:color w:val="000000"/>
          <w:sz w:val="22"/>
          <w:szCs w:val="22"/>
        </w:rPr>
        <w:t>.</w:t>
      </w:r>
    </w:p>
    <w:p w14:paraId="0F569895" w14:textId="77777777" w:rsidR="0066323D" w:rsidRDefault="0066323D" w:rsidP="0066323D">
      <w:pPr>
        <w:wordWrap/>
        <w:jc w:val="both"/>
        <w:rPr>
          <w:rFonts w:eastAsia="맑은 고딕"/>
          <w:b/>
          <w:color w:val="000000"/>
          <w:sz w:val="22"/>
          <w:szCs w:val="22"/>
        </w:rPr>
      </w:pPr>
    </w:p>
    <w:p w14:paraId="05FDFEB4" w14:textId="28E6E99F" w:rsidR="0066323D" w:rsidRDefault="003B7449" w:rsidP="0066323D">
      <w:pPr>
        <w:spacing w:after="240" w:line="276" w:lineRule="auto"/>
        <w:rPr>
          <w:rFonts w:eastAsia="맑은 고딕"/>
          <w:b/>
          <w:color w:val="000000"/>
          <w:sz w:val="22"/>
          <w:szCs w:val="22"/>
        </w:rPr>
      </w:pPr>
      <w:bookmarkStart w:id="12" w:name="_Ref53564460"/>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0947B9">
        <w:rPr>
          <w:b/>
          <w:noProof/>
          <w:sz w:val="22"/>
          <w:szCs w:val="22"/>
        </w:rPr>
        <w:t>4</w:t>
      </w:r>
      <w:r w:rsidRPr="003B7449">
        <w:rPr>
          <w:b/>
          <w:sz w:val="22"/>
          <w:szCs w:val="22"/>
        </w:rPr>
        <w:fldChar w:fldCharType="end"/>
      </w:r>
      <w:r w:rsidRPr="003B7449">
        <w:rPr>
          <w:b/>
          <w:sz w:val="22"/>
          <w:szCs w:val="22"/>
        </w:rPr>
        <w:t xml:space="preserve">: </w:t>
      </w:r>
      <w:r w:rsidR="002934E4" w:rsidRPr="002934E4">
        <w:rPr>
          <w:rFonts w:eastAsia="맑은 고딕"/>
          <w:b/>
          <w:color w:val="000000"/>
          <w:sz w:val="22"/>
          <w:szCs w:val="22"/>
        </w:rPr>
        <w:t xml:space="preserve">A </w:t>
      </w:r>
      <w:r w:rsidR="002934E4">
        <w:rPr>
          <w:rFonts w:eastAsia="맑은 고딕"/>
          <w:b/>
          <w:color w:val="000000"/>
          <w:sz w:val="22"/>
          <w:szCs w:val="22"/>
        </w:rPr>
        <w:t>gNB</w:t>
      </w:r>
      <w:r w:rsidR="0066323D" w:rsidRPr="003B7449">
        <w:rPr>
          <w:rFonts w:eastAsia="맑은 고딕"/>
          <w:b/>
          <w:color w:val="000000"/>
          <w:sz w:val="22"/>
          <w:szCs w:val="22"/>
        </w:rPr>
        <w:t>/satellite applies different values of Doppler pre-compensation to different SSBs</w:t>
      </w:r>
      <w:r>
        <w:rPr>
          <w:rFonts w:eastAsia="맑은 고딕"/>
          <w:b/>
          <w:color w:val="000000"/>
          <w:sz w:val="22"/>
          <w:szCs w:val="22"/>
        </w:rPr>
        <w:t>.</w:t>
      </w:r>
      <w:bookmarkEnd w:id="12"/>
    </w:p>
    <w:p w14:paraId="4B26DF92" w14:textId="2E605738" w:rsidR="000947B9" w:rsidRDefault="000947B9" w:rsidP="0066323D">
      <w:pPr>
        <w:spacing w:after="240" w:line="276" w:lineRule="auto"/>
        <w:rPr>
          <w:rFonts w:eastAsia="맑은 고딕"/>
          <w:b/>
          <w:color w:val="000000"/>
          <w:sz w:val="22"/>
          <w:szCs w:val="22"/>
        </w:rPr>
      </w:pPr>
    </w:p>
    <w:p w14:paraId="0A6F8437" w14:textId="68353663" w:rsidR="000947B9" w:rsidRDefault="000947B9" w:rsidP="000947B9">
      <w:pPr>
        <w:pStyle w:val="1"/>
      </w:pPr>
      <w:r w:rsidRPr="000947B9">
        <w:t>PRACH resource allocatio</w:t>
      </w:r>
      <w:r>
        <w:t>n</w:t>
      </w:r>
    </w:p>
    <w:p w14:paraId="6D62401F" w14:textId="77777777" w:rsidR="000947B9" w:rsidRDefault="000947B9" w:rsidP="000947B9">
      <w:pPr>
        <w:wordWrap/>
        <w:jc w:val="both"/>
        <w:rPr>
          <w:rFonts w:eastAsia="맑은 고딕"/>
          <w:color w:val="000000"/>
          <w:sz w:val="22"/>
          <w:szCs w:val="22"/>
        </w:rPr>
      </w:pPr>
      <w:r w:rsidRPr="00A349CA">
        <w:rPr>
          <w:sz w:val="22"/>
          <w:szCs w:val="18"/>
        </w:rPr>
        <w:t xml:space="preserve">The </w:t>
      </w:r>
      <w:r>
        <w:rPr>
          <w:sz w:val="22"/>
          <w:szCs w:val="18"/>
        </w:rPr>
        <w:t>gNB</w:t>
      </w:r>
      <w:r w:rsidRPr="00A349CA">
        <w:rPr>
          <w:sz w:val="22"/>
          <w:szCs w:val="18"/>
        </w:rPr>
        <w:t xml:space="preserve"> can accommodate the </w:t>
      </w:r>
      <w:r>
        <w:rPr>
          <w:sz w:val="22"/>
          <w:szCs w:val="18"/>
        </w:rPr>
        <w:t>GNSS awareness</w:t>
      </w:r>
      <w:r w:rsidRPr="00A349CA">
        <w:rPr>
          <w:sz w:val="22"/>
          <w:szCs w:val="18"/>
        </w:rPr>
        <w:t xml:space="preserve"> of a UE when performing PRACH resource allocation for initial access. For example, </w:t>
      </w:r>
      <w:r>
        <w:rPr>
          <w:sz w:val="22"/>
          <w:szCs w:val="18"/>
        </w:rPr>
        <w:t>the gNB can allocate</w:t>
      </w:r>
      <w:r w:rsidRPr="00A349CA">
        <w:rPr>
          <w:sz w:val="22"/>
          <w:szCs w:val="18"/>
        </w:rPr>
        <w:t xml:space="preserve"> one set of PRACH time resources to all GNSS-</w:t>
      </w:r>
      <w:r>
        <w:rPr>
          <w:sz w:val="22"/>
          <w:szCs w:val="18"/>
        </w:rPr>
        <w:t>aware</w:t>
      </w:r>
      <w:r w:rsidRPr="00A349CA">
        <w:rPr>
          <w:sz w:val="22"/>
          <w:szCs w:val="18"/>
        </w:rPr>
        <w:t xml:space="preserve"> UEs and </w:t>
      </w:r>
      <w:r>
        <w:rPr>
          <w:sz w:val="22"/>
          <w:szCs w:val="18"/>
        </w:rPr>
        <w:t>a separate</w:t>
      </w:r>
      <w:r w:rsidRPr="00A349CA">
        <w:rPr>
          <w:sz w:val="22"/>
          <w:szCs w:val="18"/>
        </w:rPr>
        <w:t xml:space="preserve"> set of PRACH time resour</w:t>
      </w:r>
      <w:r>
        <w:rPr>
          <w:sz w:val="22"/>
          <w:szCs w:val="18"/>
        </w:rPr>
        <w:t>ces to all GNSS-challenged UEs.</w:t>
      </w:r>
    </w:p>
    <w:p w14:paraId="6D42DB45" w14:textId="77777777" w:rsidR="000947B9" w:rsidRDefault="000947B9" w:rsidP="000947B9">
      <w:pPr>
        <w:wordWrap/>
        <w:jc w:val="both"/>
        <w:rPr>
          <w:rFonts w:eastAsia="맑은 고딕"/>
          <w:color w:val="000000"/>
          <w:sz w:val="22"/>
          <w:szCs w:val="22"/>
        </w:rPr>
      </w:pPr>
    </w:p>
    <w:p w14:paraId="38E2E991" w14:textId="252B0D1C" w:rsidR="000947B9" w:rsidRPr="000947B9" w:rsidRDefault="000947B9" w:rsidP="000947B9">
      <w:pPr>
        <w:pStyle w:val="ac"/>
        <w:ind w:left="1276" w:hangingChars="580" w:hanging="1276"/>
        <w:rPr>
          <w:rFonts w:eastAsia="맑은 고딕"/>
          <w:color w:val="000000"/>
          <w:sz w:val="22"/>
          <w:szCs w:val="22"/>
        </w:rPr>
      </w:pPr>
      <w:bookmarkStart w:id="13" w:name="_Ref54363512"/>
      <w:r w:rsidRPr="000947B9">
        <w:rPr>
          <w:sz w:val="22"/>
          <w:szCs w:val="22"/>
        </w:rPr>
        <w:t xml:space="preserve">Observation </w:t>
      </w:r>
      <w:r w:rsidRPr="000947B9">
        <w:rPr>
          <w:sz w:val="22"/>
          <w:szCs w:val="22"/>
        </w:rPr>
        <w:fldChar w:fldCharType="begin"/>
      </w:r>
      <w:r w:rsidRPr="000947B9">
        <w:rPr>
          <w:sz w:val="22"/>
          <w:szCs w:val="22"/>
        </w:rPr>
        <w:instrText xml:space="preserve"> SEQ Observation \* ARABIC </w:instrText>
      </w:r>
      <w:r w:rsidRPr="000947B9">
        <w:rPr>
          <w:sz w:val="22"/>
          <w:szCs w:val="22"/>
        </w:rPr>
        <w:fldChar w:fldCharType="separate"/>
      </w:r>
      <w:r>
        <w:rPr>
          <w:noProof/>
          <w:sz w:val="22"/>
          <w:szCs w:val="22"/>
        </w:rPr>
        <w:t>5</w:t>
      </w:r>
      <w:r w:rsidRPr="000947B9">
        <w:rPr>
          <w:sz w:val="22"/>
          <w:szCs w:val="22"/>
        </w:rPr>
        <w:fldChar w:fldCharType="end"/>
      </w:r>
      <w:r w:rsidRPr="000947B9">
        <w:rPr>
          <w:sz w:val="22"/>
          <w:szCs w:val="22"/>
        </w:rPr>
        <w:t>: A GNSS-aware UE can determine the time and frequency pre-compensation that it should apply when transmitting a PRACH preamble. This can result in improved preamble detection performance for all GNSS-aware UEs.</w:t>
      </w:r>
      <w:bookmarkEnd w:id="13"/>
    </w:p>
    <w:p w14:paraId="7427311F" w14:textId="77777777" w:rsidR="000947B9" w:rsidRPr="000947B9" w:rsidRDefault="000947B9" w:rsidP="000947B9">
      <w:pPr>
        <w:wordWrap/>
        <w:ind w:left="1276" w:hangingChars="580" w:hanging="1276"/>
        <w:jc w:val="both"/>
        <w:rPr>
          <w:sz w:val="22"/>
          <w:szCs w:val="22"/>
        </w:rPr>
      </w:pPr>
    </w:p>
    <w:p w14:paraId="1E945D1D" w14:textId="7F5FC52C" w:rsidR="000947B9" w:rsidRPr="000947B9" w:rsidRDefault="000947B9" w:rsidP="000947B9">
      <w:pPr>
        <w:wordWrap/>
        <w:ind w:left="1276" w:hangingChars="580" w:hanging="1276"/>
        <w:jc w:val="both"/>
        <w:rPr>
          <w:rFonts w:eastAsia="맑은 고딕"/>
          <w:b/>
          <w:color w:val="000000"/>
          <w:sz w:val="22"/>
          <w:szCs w:val="22"/>
        </w:rPr>
      </w:pPr>
      <w:bookmarkStart w:id="14" w:name="_Ref54363513"/>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Pr>
          <w:b/>
          <w:noProof/>
          <w:sz w:val="22"/>
          <w:szCs w:val="22"/>
        </w:rPr>
        <w:t>6</w:t>
      </w:r>
      <w:r w:rsidRPr="000947B9">
        <w:rPr>
          <w:b/>
          <w:sz w:val="22"/>
          <w:szCs w:val="22"/>
        </w:rPr>
        <w:fldChar w:fldCharType="end"/>
      </w:r>
      <w:r w:rsidRPr="000947B9">
        <w:rPr>
          <w:b/>
          <w:sz w:val="22"/>
          <w:szCs w:val="22"/>
        </w:rPr>
        <w:t>: The PRACH guard time for GNSS-aware UEs can be smaller than the PRACH guard time for GNSS-challenged UEs.</w:t>
      </w:r>
      <w:bookmarkEnd w:id="14"/>
    </w:p>
    <w:p w14:paraId="3CC4D5E9" w14:textId="77777777" w:rsidR="000947B9" w:rsidRPr="000947B9" w:rsidRDefault="000947B9" w:rsidP="000947B9">
      <w:pPr>
        <w:keepNext/>
        <w:keepLines/>
        <w:wordWrap/>
        <w:ind w:left="1276" w:hangingChars="580" w:hanging="1276"/>
        <w:jc w:val="both"/>
        <w:outlineLvl w:val="2"/>
        <w:rPr>
          <w:sz w:val="22"/>
          <w:szCs w:val="22"/>
        </w:rPr>
      </w:pPr>
    </w:p>
    <w:p w14:paraId="664F2435" w14:textId="348B8871" w:rsidR="000947B9" w:rsidRPr="000947B9" w:rsidRDefault="000947B9" w:rsidP="000947B9">
      <w:pPr>
        <w:keepNext/>
        <w:keepLines/>
        <w:wordWrap/>
        <w:ind w:left="1276" w:hangingChars="580" w:hanging="1276"/>
        <w:jc w:val="both"/>
        <w:outlineLvl w:val="2"/>
        <w:rPr>
          <w:b/>
          <w:sz w:val="22"/>
          <w:szCs w:val="22"/>
        </w:rPr>
      </w:pPr>
      <w:bookmarkStart w:id="15" w:name="_Ref54363515"/>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Pr>
          <w:b/>
          <w:noProof/>
          <w:sz w:val="22"/>
          <w:szCs w:val="22"/>
        </w:rPr>
        <w:t>7</w:t>
      </w:r>
      <w:r w:rsidRPr="000947B9">
        <w:rPr>
          <w:b/>
          <w:sz w:val="22"/>
          <w:szCs w:val="22"/>
        </w:rPr>
        <w:fldChar w:fldCharType="end"/>
      </w:r>
      <w:r w:rsidRPr="000947B9">
        <w:rPr>
          <w:b/>
          <w:sz w:val="22"/>
          <w:szCs w:val="22"/>
        </w:rPr>
        <w:t>: If PRACH preamble transmissions from GNSS-aware UEs do not interfere with PRACH preamble transmissions from GNSS-challenged UEs, preamble detection performance for all GNSS-challenged UEs improves.</w:t>
      </w:r>
      <w:bookmarkEnd w:id="15"/>
    </w:p>
    <w:p w14:paraId="052CF9EC" w14:textId="77777777" w:rsidR="000947B9" w:rsidRPr="000947B9" w:rsidRDefault="000947B9" w:rsidP="000947B9">
      <w:pPr>
        <w:keepNext/>
        <w:keepLines/>
        <w:wordWrap/>
        <w:jc w:val="both"/>
        <w:outlineLvl w:val="2"/>
        <w:rPr>
          <w:sz w:val="22"/>
          <w:szCs w:val="22"/>
        </w:rPr>
      </w:pPr>
    </w:p>
    <w:p w14:paraId="297C7F18" w14:textId="77777777" w:rsidR="000947B9" w:rsidRPr="000947B9" w:rsidRDefault="000947B9" w:rsidP="000947B9">
      <w:pPr>
        <w:keepNext/>
        <w:keepLines/>
        <w:wordWrap/>
        <w:jc w:val="both"/>
        <w:outlineLvl w:val="2"/>
        <w:rPr>
          <w:sz w:val="22"/>
          <w:szCs w:val="22"/>
        </w:rPr>
      </w:pPr>
      <w:r w:rsidRPr="000947B9">
        <w:rPr>
          <w:sz w:val="22"/>
          <w:szCs w:val="22"/>
        </w:rPr>
        <w:t>PRACH resources for GNSS-aware and GNSS-challenged UEs can be indicated by system information. The gNB can provide separate PRACH configuration indexes for GNSS-aware UEs and for GNSS-challenged UEs.</w:t>
      </w:r>
    </w:p>
    <w:p w14:paraId="28248394" w14:textId="77777777" w:rsidR="000947B9" w:rsidRPr="000947B9" w:rsidRDefault="000947B9" w:rsidP="000947B9">
      <w:pPr>
        <w:keepNext/>
        <w:keepLines/>
        <w:wordWrap/>
        <w:jc w:val="both"/>
        <w:outlineLvl w:val="2"/>
        <w:rPr>
          <w:rFonts w:eastAsia="맑은 고딕"/>
          <w:b/>
          <w:color w:val="000000"/>
          <w:sz w:val="22"/>
          <w:szCs w:val="22"/>
        </w:rPr>
      </w:pPr>
    </w:p>
    <w:p w14:paraId="1BD87FA9" w14:textId="1F0EEACD" w:rsidR="000947B9" w:rsidRPr="000947B9" w:rsidRDefault="000947B9" w:rsidP="000947B9">
      <w:pPr>
        <w:pStyle w:val="ac"/>
        <w:ind w:left="1133" w:hangingChars="515" w:hanging="1133"/>
        <w:rPr>
          <w:sz w:val="22"/>
          <w:szCs w:val="22"/>
        </w:rPr>
      </w:pPr>
      <w:bookmarkStart w:id="16" w:name="_Ref54363424"/>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Pr>
          <w:noProof/>
          <w:sz w:val="22"/>
          <w:szCs w:val="22"/>
        </w:rPr>
        <w:t>5</w:t>
      </w:r>
      <w:r w:rsidRPr="000947B9">
        <w:rPr>
          <w:sz w:val="22"/>
          <w:szCs w:val="22"/>
        </w:rPr>
        <w:fldChar w:fldCharType="end"/>
      </w:r>
      <w:r w:rsidRPr="000947B9">
        <w:rPr>
          <w:rFonts w:eastAsia="맑은 고딕"/>
          <w:color w:val="000000"/>
          <w:sz w:val="22"/>
          <w:szCs w:val="22"/>
        </w:rPr>
        <w:t>: A gNB can assign separate PRACH resources to GNSS-aware UEs and GNSS-challenged UEs.</w:t>
      </w:r>
      <w:bookmarkEnd w:id="16"/>
    </w:p>
    <w:p w14:paraId="0A3B2980" w14:textId="5E03FF65" w:rsidR="000947B9" w:rsidRDefault="000947B9" w:rsidP="0066323D">
      <w:pPr>
        <w:spacing w:after="240" w:line="276" w:lineRule="auto"/>
        <w:rPr>
          <w:b/>
          <w:sz w:val="22"/>
          <w:szCs w:val="22"/>
          <w:lang w:val="en-GB" w:eastAsia="en-US"/>
        </w:rPr>
      </w:pPr>
    </w:p>
    <w:p w14:paraId="66C3AE21" w14:textId="771ECF05" w:rsidR="00E42F7C" w:rsidRPr="00BF16D8" w:rsidRDefault="007458F0" w:rsidP="007458F0">
      <w:pPr>
        <w:pStyle w:val="1"/>
        <w:rPr>
          <w:rFonts w:eastAsia="맑은 고딕"/>
          <w:color w:val="000000"/>
          <w:lang w:eastAsia="ko-KR"/>
        </w:rPr>
      </w:pPr>
      <w:r w:rsidRPr="007458F0">
        <w:rPr>
          <w:rFonts w:eastAsia="맑은 고딕"/>
          <w:color w:val="000000"/>
          <w:lang w:val="en-US" w:eastAsia="ko-KR"/>
        </w:rPr>
        <w:t>Spot beam switching via BWP</w:t>
      </w:r>
      <w:r w:rsidR="00E42F7C" w:rsidRPr="00BF16D8">
        <w:rPr>
          <w:rFonts w:eastAsia="맑은 고딕" w:hint="eastAsia"/>
          <w:color w:val="000000"/>
          <w:lang w:eastAsia="ko-KR"/>
        </w:rPr>
        <w:t xml:space="preserve"> </w:t>
      </w:r>
    </w:p>
    <w:p w14:paraId="5A69A406" w14:textId="3BDD4D1A" w:rsidR="00C759DF" w:rsidRDefault="00657CB8" w:rsidP="00E42F7C">
      <w:pPr>
        <w:spacing w:after="240" w:line="276" w:lineRule="auto"/>
        <w:rPr>
          <w:b/>
          <w:sz w:val="22"/>
          <w:szCs w:val="22"/>
          <w:lang w:val="en-GB" w:eastAsia="en-US"/>
        </w:rPr>
      </w:pPr>
      <w:r>
        <w:rPr>
          <w:rFonts w:eastAsia="맑은 고딕"/>
          <w:noProof/>
          <w:color w:val="000000"/>
          <w:sz w:val="22"/>
          <w:szCs w:val="22"/>
        </w:rPr>
        <w:drawing>
          <wp:inline distT="0" distB="0" distL="0" distR="0" wp14:anchorId="136C142F" wp14:editId="6D77F0FD">
            <wp:extent cx="2802234" cy="18102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1706" cy="1829278"/>
                    </a:xfrm>
                    <a:prstGeom prst="rect">
                      <a:avLst/>
                    </a:prstGeom>
                    <a:noFill/>
                  </pic:spPr>
                </pic:pic>
              </a:graphicData>
            </a:graphic>
          </wp:inline>
        </w:drawing>
      </w:r>
      <w:r>
        <w:rPr>
          <w:rFonts w:eastAsia="맑은 고딕"/>
          <w:noProof/>
          <w:color w:val="000000"/>
          <w:sz w:val="22"/>
          <w:szCs w:val="22"/>
        </w:rPr>
        <w:drawing>
          <wp:inline distT="0" distB="0" distL="0" distR="0" wp14:anchorId="43D9C890" wp14:editId="1990868D">
            <wp:extent cx="3047671" cy="2019593"/>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372" cy="2051866"/>
                    </a:xfrm>
                    <a:prstGeom prst="rect">
                      <a:avLst/>
                    </a:prstGeom>
                    <a:noFill/>
                  </pic:spPr>
                </pic:pic>
              </a:graphicData>
            </a:graphic>
          </wp:inline>
        </w:drawing>
      </w:r>
    </w:p>
    <w:p w14:paraId="4A4E1589" w14:textId="77777777" w:rsidR="00657CB8" w:rsidRDefault="00657CB8" w:rsidP="00657CB8">
      <w:pPr>
        <w:pStyle w:val="ac"/>
        <w:wordWrap/>
        <w:spacing w:before="0" w:after="0"/>
        <w:jc w:val="center"/>
        <w:rPr>
          <w:sz w:val="18"/>
          <w:szCs w:val="18"/>
        </w:rPr>
      </w:pPr>
    </w:p>
    <w:p w14:paraId="5D8B5746" w14:textId="32E9D8E1" w:rsidR="00657CB8" w:rsidRPr="00A127E5" w:rsidRDefault="00657CB8" w:rsidP="00657CB8">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3</w:t>
      </w:r>
      <w:r w:rsidRPr="00A127E5">
        <w:rPr>
          <w:sz w:val="18"/>
          <w:szCs w:val="18"/>
        </w:rPr>
        <w:t xml:space="preserve">: </w:t>
      </w:r>
      <w:r>
        <w:rPr>
          <w:sz w:val="18"/>
          <w:szCs w:val="18"/>
        </w:rPr>
        <w:t xml:space="preserve">Satellites with multiple spot beams and </w:t>
      </w:r>
      <w:r w:rsidR="006C290E">
        <w:rPr>
          <w:sz w:val="18"/>
          <w:szCs w:val="18"/>
        </w:rPr>
        <w:t>different amount of</w:t>
      </w:r>
      <w:r>
        <w:rPr>
          <w:sz w:val="18"/>
          <w:szCs w:val="18"/>
        </w:rPr>
        <w:t xml:space="preserve"> </w:t>
      </w:r>
      <w:r w:rsidRPr="00A127E5">
        <w:rPr>
          <w:sz w:val="18"/>
          <w:szCs w:val="18"/>
        </w:rPr>
        <w:t>Doppler pre-compensation</w:t>
      </w:r>
    </w:p>
    <w:p w14:paraId="5CE5BDC0" w14:textId="7DA89F55" w:rsidR="00C759DF" w:rsidRDefault="00C759DF" w:rsidP="0066323D">
      <w:pPr>
        <w:spacing w:after="240" w:line="276" w:lineRule="auto"/>
        <w:rPr>
          <w:b/>
          <w:sz w:val="22"/>
          <w:szCs w:val="22"/>
          <w:lang w:val="en-GB" w:eastAsia="en-US"/>
        </w:rPr>
      </w:pPr>
    </w:p>
    <w:p w14:paraId="4B872BC0" w14:textId="4EC1BE88" w:rsidR="00373431" w:rsidRDefault="00657CB8" w:rsidP="00B33082">
      <w:pPr>
        <w:wordWrap/>
        <w:spacing w:after="240" w:line="276" w:lineRule="auto"/>
        <w:rPr>
          <w:sz w:val="22"/>
          <w:szCs w:val="22"/>
          <w:lang w:val="en-GB" w:eastAsia="en-US"/>
        </w:rPr>
      </w:pPr>
      <w:r w:rsidRPr="00B33082">
        <w:rPr>
          <w:sz w:val="22"/>
          <w:szCs w:val="22"/>
          <w:lang w:val="en-GB" w:eastAsia="en-US"/>
        </w:rPr>
        <w:t xml:space="preserve">It is </w:t>
      </w:r>
      <w:r>
        <w:rPr>
          <w:sz w:val="22"/>
          <w:szCs w:val="22"/>
          <w:lang w:val="en-GB" w:eastAsia="en-US"/>
        </w:rPr>
        <w:t>noted that LEO satellites usually create several tens of spot beams and GEO satellites can create a few hundred spot beams.</w:t>
      </w:r>
      <w:r w:rsidR="000E6F6A">
        <w:rPr>
          <w:sz w:val="22"/>
          <w:szCs w:val="22"/>
          <w:lang w:val="en-GB" w:eastAsia="en-US"/>
        </w:rPr>
        <w:t xml:space="preserve"> The LHS </w:t>
      </w:r>
      <w:r w:rsidR="00E25C17">
        <w:rPr>
          <w:sz w:val="22"/>
          <w:szCs w:val="22"/>
          <w:lang w:val="en-GB" w:eastAsia="en-US"/>
        </w:rPr>
        <w:t xml:space="preserve">of Figure 3 </w:t>
      </w:r>
      <w:r w:rsidR="000E6F6A">
        <w:rPr>
          <w:sz w:val="22"/>
          <w:szCs w:val="22"/>
          <w:lang w:val="en-GB" w:eastAsia="en-US"/>
        </w:rPr>
        <w:t>illustrates a satellite with multiple spot beams.</w:t>
      </w:r>
      <w:r>
        <w:rPr>
          <w:sz w:val="22"/>
          <w:szCs w:val="22"/>
          <w:lang w:val="en-GB" w:eastAsia="en-US"/>
        </w:rPr>
        <w:t xml:space="preserve"> Due to the high speed of LEO satellites, a UE can experience frequent switching of spot beams.</w:t>
      </w:r>
      <w:r w:rsidR="000E6F6A">
        <w:rPr>
          <w:sz w:val="22"/>
          <w:szCs w:val="22"/>
          <w:lang w:val="en-GB" w:eastAsia="en-US"/>
        </w:rPr>
        <w:t xml:space="preserve"> If each spot beam is mapped to a different PCI, a UE has to go through handover procedure every time the serving spot beam is switched. Handover process is costly as it involves RRC reconfiguration and random access </w:t>
      </w:r>
      <w:r w:rsidR="006C290E">
        <w:rPr>
          <w:sz w:val="22"/>
          <w:szCs w:val="22"/>
          <w:lang w:val="en-GB" w:eastAsia="en-US"/>
        </w:rPr>
        <w:t>procedure</w:t>
      </w:r>
      <w:r w:rsidR="000E6F6A">
        <w:rPr>
          <w:sz w:val="22"/>
          <w:szCs w:val="22"/>
          <w:lang w:val="en-GB" w:eastAsia="en-US"/>
        </w:rPr>
        <w:t xml:space="preserve">, although the </w:t>
      </w:r>
      <w:r w:rsidR="006C290E">
        <w:rPr>
          <w:sz w:val="22"/>
          <w:szCs w:val="22"/>
          <w:lang w:val="en-GB" w:eastAsia="en-US"/>
        </w:rPr>
        <w:t xml:space="preserve">latter </w:t>
      </w:r>
      <w:r w:rsidR="000E6F6A">
        <w:rPr>
          <w:sz w:val="22"/>
          <w:szCs w:val="22"/>
          <w:lang w:val="en-GB" w:eastAsia="en-US"/>
        </w:rPr>
        <w:t xml:space="preserve">can be skipped with RACH-less handover. As long as the serving and target spot beams belong to a same satellite, there is no motivation to perform RRC reconfiguration. </w:t>
      </w:r>
      <w:r w:rsidR="00373431">
        <w:rPr>
          <w:sz w:val="22"/>
          <w:szCs w:val="22"/>
          <w:lang w:val="en-GB" w:eastAsia="en-US"/>
        </w:rPr>
        <w:t xml:space="preserve">These have been the reason behind the agreement on the support of </w:t>
      </w:r>
      <w:r w:rsidR="006C290E">
        <w:rPr>
          <w:sz w:val="22"/>
          <w:szCs w:val="22"/>
          <w:lang w:val="en-GB" w:eastAsia="en-US"/>
        </w:rPr>
        <w:t>‘</w:t>
      </w:r>
      <w:r w:rsidR="00373431">
        <w:rPr>
          <w:sz w:val="22"/>
          <w:szCs w:val="22"/>
          <w:lang w:val="en-GB" w:eastAsia="en-US"/>
        </w:rPr>
        <w:t>multiple-beam per cell</w:t>
      </w:r>
      <w:r w:rsidR="006C290E">
        <w:rPr>
          <w:sz w:val="22"/>
          <w:szCs w:val="22"/>
          <w:lang w:val="en-GB" w:eastAsia="en-US"/>
        </w:rPr>
        <w:t>’</w:t>
      </w:r>
      <w:r w:rsidR="00373431">
        <w:rPr>
          <w:sz w:val="22"/>
          <w:szCs w:val="22"/>
          <w:lang w:val="en-GB" w:eastAsia="en-US"/>
        </w:rPr>
        <w:t xml:space="preserve"> in the previous meeting. </w:t>
      </w:r>
    </w:p>
    <w:p w14:paraId="2519EC53" w14:textId="30E96E61" w:rsidR="00373431" w:rsidRDefault="00373431" w:rsidP="00B33082">
      <w:pPr>
        <w:wordWrap/>
        <w:spacing w:after="240" w:line="276" w:lineRule="auto"/>
        <w:rPr>
          <w:sz w:val="22"/>
          <w:szCs w:val="22"/>
          <w:lang w:val="en-GB" w:eastAsia="en-US"/>
        </w:rPr>
      </w:pPr>
      <w:r>
        <w:rPr>
          <w:sz w:val="22"/>
          <w:szCs w:val="22"/>
          <w:lang w:val="en-GB" w:eastAsia="en-US"/>
        </w:rPr>
        <w:t xml:space="preserve">With the </w:t>
      </w:r>
      <w:r w:rsidR="006C290E">
        <w:rPr>
          <w:sz w:val="22"/>
          <w:szCs w:val="22"/>
          <w:lang w:val="en-GB" w:eastAsia="en-US"/>
        </w:rPr>
        <w:t>support</w:t>
      </w:r>
      <w:r>
        <w:rPr>
          <w:sz w:val="22"/>
          <w:szCs w:val="22"/>
          <w:lang w:val="en-GB" w:eastAsia="en-US"/>
        </w:rPr>
        <w:t xml:space="preserve"> of</w:t>
      </w:r>
      <w:r w:rsidR="000E6F6A">
        <w:rPr>
          <w:sz w:val="22"/>
          <w:szCs w:val="22"/>
          <w:lang w:val="en-GB" w:eastAsia="en-US"/>
        </w:rPr>
        <w:t xml:space="preserve"> </w:t>
      </w:r>
      <w:r>
        <w:rPr>
          <w:sz w:val="22"/>
          <w:szCs w:val="22"/>
          <w:lang w:val="en-GB" w:eastAsia="en-US"/>
        </w:rPr>
        <w:t>multiple-beam per cell, multiple spot beams can be grouped together to share the same PCI and the spot beam switching is performed through BWP switching for a given UE. Thus, each BWP is configured such that the UE can transmit to and receive from the corresponding spot beam.</w:t>
      </w:r>
      <w:r w:rsidR="00E25C17">
        <w:rPr>
          <w:sz w:val="22"/>
          <w:szCs w:val="22"/>
          <w:lang w:val="en-GB" w:eastAsia="en-US"/>
        </w:rPr>
        <w:t xml:space="preserve"> In this way, the overhead of going through </w:t>
      </w:r>
      <w:r w:rsidR="006C290E">
        <w:rPr>
          <w:sz w:val="22"/>
          <w:szCs w:val="22"/>
          <w:lang w:val="en-GB" w:eastAsia="en-US"/>
        </w:rPr>
        <w:t xml:space="preserve">the </w:t>
      </w:r>
      <w:r w:rsidR="00E25C17">
        <w:rPr>
          <w:sz w:val="22"/>
          <w:szCs w:val="22"/>
          <w:lang w:val="en-GB" w:eastAsia="en-US"/>
        </w:rPr>
        <w:t xml:space="preserve">handover </w:t>
      </w:r>
      <w:r w:rsidR="006C290E">
        <w:rPr>
          <w:sz w:val="22"/>
          <w:szCs w:val="22"/>
          <w:lang w:val="en-GB" w:eastAsia="en-US"/>
        </w:rPr>
        <w:t xml:space="preserve">procedures </w:t>
      </w:r>
      <w:r w:rsidR="00E25C17">
        <w:rPr>
          <w:sz w:val="22"/>
          <w:szCs w:val="22"/>
          <w:lang w:val="en-GB" w:eastAsia="en-US"/>
        </w:rPr>
        <w:t>can be avoided</w:t>
      </w:r>
      <w:r w:rsidR="00F079D7">
        <w:rPr>
          <w:sz w:val="22"/>
          <w:szCs w:val="22"/>
          <w:lang w:val="en-GB" w:eastAsia="en-US"/>
        </w:rPr>
        <w:t xml:space="preserve"> to a certain degree</w:t>
      </w:r>
      <w:r w:rsidR="00E25C17">
        <w:rPr>
          <w:sz w:val="22"/>
          <w:szCs w:val="22"/>
          <w:lang w:val="en-GB" w:eastAsia="en-US"/>
        </w:rPr>
        <w:t>. On the other hand, as described in the RHS of Figure 3, the experienced Doppler shifts at different spot beams are different as the Doppler shift is</w:t>
      </w:r>
      <w:r w:rsidR="00F079D7">
        <w:rPr>
          <w:sz w:val="22"/>
          <w:szCs w:val="22"/>
          <w:lang w:val="en-GB" w:eastAsia="en-US"/>
        </w:rPr>
        <w:t xml:space="preserve"> a function of </w:t>
      </w:r>
      <w:r w:rsidR="00E25C17">
        <w:rPr>
          <w:sz w:val="22"/>
          <w:szCs w:val="22"/>
          <w:lang w:val="en-GB" w:eastAsia="en-US"/>
        </w:rPr>
        <w:t>the relative speed between the transmitter and the receiver. Thus, the network would appl</w:t>
      </w:r>
      <w:r w:rsidR="00F079D7">
        <w:rPr>
          <w:sz w:val="22"/>
          <w:szCs w:val="22"/>
          <w:lang w:val="en-GB" w:eastAsia="en-US"/>
        </w:rPr>
        <w:t>y</w:t>
      </w:r>
      <w:r w:rsidR="00E25C17">
        <w:rPr>
          <w:sz w:val="22"/>
          <w:szCs w:val="22"/>
          <w:lang w:val="en-GB" w:eastAsia="en-US"/>
        </w:rPr>
        <w:t xml:space="preserve"> different Doppler pre-compensation values to different spot beams as illustrated in the figure. </w:t>
      </w:r>
      <w:r w:rsidR="00F079D7">
        <w:rPr>
          <w:sz w:val="22"/>
          <w:szCs w:val="22"/>
          <w:lang w:val="en-GB" w:eastAsia="en-US"/>
        </w:rPr>
        <w:t>I</w:t>
      </w:r>
      <w:r w:rsidR="00E25C17">
        <w:rPr>
          <w:sz w:val="22"/>
          <w:szCs w:val="22"/>
          <w:lang w:val="en-GB" w:eastAsia="en-US"/>
        </w:rPr>
        <w:t>n order for the UE to correctly receive data after BWP switch, i.e., spot beam switch, the UE should know the amount of Doppler pre-compensation applied at the new serving spot beam so that the UE can correctly adjust its PRB grid by the amount of</w:t>
      </w:r>
      <w:r w:rsidR="00F079D7">
        <w:rPr>
          <w:sz w:val="22"/>
          <w:szCs w:val="22"/>
          <w:lang w:val="en-GB" w:eastAsia="en-US"/>
        </w:rPr>
        <w:t xml:space="preserve"> applied</w:t>
      </w:r>
      <w:r w:rsidR="00E25C17">
        <w:rPr>
          <w:sz w:val="22"/>
          <w:szCs w:val="22"/>
          <w:lang w:val="en-GB" w:eastAsia="en-US"/>
        </w:rPr>
        <w:t xml:space="preserve"> Doppler pre-compensation. The </w:t>
      </w:r>
      <w:r w:rsidR="006C290E">
        <w:rPr>
          <w:sz w:val="22"/>
          <w:szCs w:val="22"/>
          <w:lang w:val="en-GB" w:eastAsia="en-US"/>
        </w:rPr>
        <w:t>different amount of Doppler pre-compensation can be indicated in each BWP configuration with respect to the default BWP. Note that the current BWP configuration is in the unit of PRB, which is too coarse to accommodate the amount of Doppler shift as calculated in Section 4.</w:t>
      </w:r>
      <w:r w:rsidR="00E25C17">
        <w:rPr>
          <w:sz w:val="22"/>
          <w:szCs w:val="22"/>
          <w:lang w:val="en-GB" w:eastAsia="en-US"/>
        </w:rPr>
        <w:t xml:space="preserve">  </w:t>
      </w:r>
      <w:r>
        <w:rPr>
          <w:sz w:val="22"/>
          <w:szCs w:val="22"/>
          <w:lang w:val="en-GB" w:eastAsia="en-US"/>
        </w:rPr>
        <w:t xml:space="preserve"> </w:t>
      </w:r>
    </w:p>
    <w:p w14:paraId="3965C2D8" w14:textId="157B758D" w:rsidR="006C290E" w:rsidRPr="000947B9" w:rsidRDefault="008B627C" w:rsidP="00B33082">
      <w:pPr>
        <w:pStyle w:val="ac"/>
        <w:wordWrap/>
        <w:ind w:left="1133" w:hangingChars="515" w:hanging="1133"/>
        <w:rPr>
          <w:sz w:val="22"/>
          <w:szCs w:val="22"/>
        </w:rPr>
      </w:pPr>
      <w:bookmarkStart w:id="17" w:name="_Ref54363472"/>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Pr>
          <w:noProof/>
          <w:sz w:val="22"/>
          <w:szCs w:val="22"/>
        </w:rPr>
        <w:t>6</w:t>
      </w:r>
      <w:r w:rsidRPr="000947B9">
        <w:rPr>
          <w:sz w:val="22"/>
          <w:szCs w:val="22"/>
        </w:rPr>
        <w:fldChar w:fldCharType="end"/>
      </w:r>
      <w:r w:rsidR="006C290E" w:rsidRPr="000947B9">
        <w:rPr>
          <w:rFonts w:eastAsia="맑은 고딕"/>
          <w:color w:val="000000"/>
          <w:sz w:val="22"/>
          <w:szCs w:val="22"/>
        </w:rPr>
        <w:t xml:space="preserve">: </w:t>
      </w:r>
      <w:r w:rsidR="006C290E">
        <w:rPr>
          <w:rFonts w:eastAsia="맑은 고딕"/>
          <w:color w:val="000000"/>
          <w:sz w:val="22"/>
          <w:szCs w:val="22"/>
        </w:rPr>
        <w:t xml:space="preserve">The BWP configuration is extended to indicate the amount of frequency offset to </w:t>
      </w:r>
      <w:r w:rsidR="00F079D7">
        <w:rPr>
          <w:rFonts w:eastAsia="맑은 고딕"/>
          <w:color w:val="000000"/>
          <w:sz w:val="22"/>
          <w:szCs w:val="22"/>
        </w:rPr>
        <w:t>adjust</w:t>
      </w:r>
      <w:r w:rsidR="006C290E">
        <w:rPr>
          <w:rFonts w:eastAsia="맑은 고딕"/>
          <w:color w:val="000000"/>
          <w:sz w:val="22"/>
          <w:szCs w:val="22"/>
        </w:rPr>
        <w:t xml:space="preserve"> the PRB grid with respect to the default BWP.</w:t>
      </w:r>
      <w:bookmarkEnd w:id="17"/>
      <w:r w:rsidR="006C290E">
        <w:rPr>
          <w:rFonts w:eastAsia="맑은 고딕"/>
          <w:color w:val="000000"/>
          <w:sz w:val="22"/>
          <w:szCs w:val="22"/>
        </w:rPr>
        <w:t xml:space="preserve"> </w:t>
      </w:r>
    </w:p>
    <w:p w14:paraId="15226CE4" w14:textId="3FBA7E7D" w:rsidR="000E6F6A" w:rsidRDefault="000E6F6A" w:rsidP="00B33082">
      <w:pPr>
        <w:widowControl/>
        <w:wordWrap/>
        <w:autoSpaceDE/>
        <w:autoSpaceDN/>
        <w:rPr>
          <w:lang w:eastAsia="x-none"/>
        </w:rPr>
      </w:pPr>
    </w:p>
    <w:p w14:paraId="1CD91BC3" w14:textId="77777777" w:rsidR="000E6F6A" w:rsidRPr="00B33082" w:rsidRDefault="000E6F6A" w:rsidP="0066323D">
      <w:pPr>
        <w:spacing w:after="240" w:line="276" w:lineRule="auto"/>
        <w:rPr>
          <w:b/>
          <w:sz w:val="22"/>
          <w:szCs w:val="22"/>
          <w:lang w:eastAsia="en-US"/>
        </w:rPr>
      </w:pPr>
    </w:p>
    <w:p w14:paraId="479E2FB9"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7E444C34" w14:textId="2856DDAD" w:rsidR="008B627C"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4552E9">
        <w:rPr>
          <w:rFonts w:eastAsia="맑은 고딕"/>
          <w:color w:val="000000"/>
          <w:sz w:val="22"/>
          <w:szCs w:val="22"/>
        </w:rPr>
        <w:t>other issues for NTN</w:t>
      </w:r>
      <w:r w:rsidRPr="001D75BE">
        <w:rPr>
          <w:rFonts w:eastAsia="맑은 고딕"/>
          <w:color w:val="000000"/>
          <w:sz w:val="22"/>
          <w:szCs w:val="22"/>
        </w:rPr>
        <w:t xml:space="preserve">. </w:t>
      </w:r>
      <w:r w:rsidR="008B627C">
        <w:rPr>
          <w:rFonts w:eastAsia="맑은 고딕"/>
          <w:color w:val="000000"/>
          <w:sz w:val="22"/>
          <w:szCs w:val="22"/>
        </w:rPr>
        <w:t>We had the observations as</w:t>
      </w:r>
    </w:p>
    <w:p w14:paraId="2783019A" w14:textId="5718498C"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_Ref53564431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1</w:t>
      </w:r>
      <w:r w:rsidRPr="008B627C">
        <w:rPr>
          <w:rFonts w:eastAsia="맑은 고딕"/>
          <w:b/>
          <w:color w:val="000000"/>
          <w:sz w:val="22"/>
          <w:szCs w:val="22"/>
        </w:rPr>
        <w:t>: For a spot beam size that exceeds 250 km, a BS may need to perform a multi-valued Doppler pre-compensation; e.g. it may need to group distinct sets of SSBs using distinct Doppler values for pre-compensation.</w:t>
      </w:r>
      <w:r w:rsidRPr="008B627C">
        <w:rPr>
          <w:rFonts w:eastAsia="맑은 고딕"/>
          <w:b/>
          <w:color w:val="000000"/>
          <w:sz w:val="22"/>
          <w:szCs w:val="22"/>
        </w:rPr>
        <w:fldChar w:fldCharType="end"/>
      </w:r>
    </w:p>
    <w:p w14:paraId="054D46ED" w14:textId="59CA6A8E"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_Ref53564435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2</w:t>
      </w:r>
      <w:r w:rsidRPr="008B627C">
        <w:rPr>
          <w:rFonts w:eastAsia="맑은 고딕"/>
          <w:b/>
          <w:color w:val="000000"/>
          <w:sz w:val="22"/>
          <w:szCs w:val="22"/>
        </w:rPr>
        <w:t>: Indication for multi-Doppler pre-compensation pattern benefits idle UE cell reselection.</w:t>
      </w:r>
      <w:r w:rsidRPr="008B627C">
        <w:rPr>
          <w:rFonts w:eastAsia="맑은 고딕"/>
          <w:b/>
          <w:color w:val="000000"/>
          <w:sz w:val="22"/>
          <w:szCs w:val="22"/>
        </w:rPr>
        <w:fldChar w:fldCharType="end"/>
      </w:r>
    </w:p>
    <w:p w14:paraId="363E5A65" w14:textId="4566BC9A"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_Ref53564439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3</w:t>
      </w:r>
      <w:r w:rsidRPr="008B627C">
        <w:rPr>
          <w:rFonts w:eastAsia="맑은 고딕"/>
          <w:b/>
          <w:color w:val="000000"/>
          <w:sz w:val="22"/>
          <w:szCs w:val="22"/>
        </w:rPr>
        <w:t>: Indication for multi-Doppler pre-compensation pattern benefits connected UE handover.</w:t>
      </w:r>
      <w:r w:rsidRPr="008B627C">
        <w:rPr>
          <w:rFonts w:eastAsia="맑은 고딕"/>
          <w:b/>
          <w:color w:val="000000"/>
          <w:sz w:val="22"/>
          <w:szCs w:val="22"/>
        </w:rPr>
        <w:fldChar w:fldCharType="end"/>
      </w:r>
    </w:p>
    <w:p w14:paraId="583A777D" w14:textId="115E32D2"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_Ref53564441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4</w:t>
      </w:r>
      <w:r w:rsidRPr="008B627C">
        <w:rPr>
          <w:rFonts w:eastAsia="맑은 고딕"/>
          <w:b/>
          <w:color w:val="000000"/>
          <w:sz w:val="22"/>
          <w:szCs w:val="22"/>
        </w:rPr>
        <w:t>: Indication for multi-Doppler pre-compensation pattern benefits connected UE data channel reception.</w:t>
      </w:r>
      <w:r w:rsidRPr="008B627C">
        <w:rPr>
          <w:rFonts w:eastAsia="맑은 고딕"/>
          <w:b/>
          <w:color w:val="000000"/>
          <w:sz w:val="22"/>
          <w:szCs w:val="22"/>
        </w:rPr>
        <w:fldChar w:fldCharType="end"/>
      </w:r>
    </w:p>
    <w:p w14:paraId="2090296F" w14:textId="65D051B7"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_Ref54363512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5</w:t>
      </w:r>
      <w:r w:rsidRPr="008B627C">
        <w:rPr>
          <w:b/>
          <w:sz w:val="22"/>
          <w:szCs w:val="22"/>
        </w:rPr>
        <w:t>: A GNSS-aware UE can determine the time and frequency pre-compensation that it should apply when transmitting a PRACH preamble. This can result in improved preamble detection performance for all GNSS-aware UEs.</w:t>
      </w:r>
      <w:r w:rsidRPr="008B627C">
        <w:rPr>
          <w:rFonts w:eastAsia="맑은 고딕"/>
          <w:b/>
          <w:color w:val="000000"/>
          <w:sz w:val="22"/>
          <w:szCs w:val="22"/>
        </w:rPr>
        <w:fldChar w:fldCharType="end"/>
      </w:r>
    </w:p>
    <w:p w14:paraId="4FCE15A2" w14:textId="03DBD8DD"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_Ref54363513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6</w:t>
      </w:r>
      <w:r w:rsidRPr="008B627C">
        <w:rPr>
          <w:b/>
          <w:sz w:val="22"/>
          <w:szCs w:val="22"/>
        </w:rPr>
        <w:t>: The PRACH guard time for GNSS-aware UEs can be smaller than the PRACH guard time for GNSS-challenged UEs.</w:t>
      </w:r>
      <w:r w:rsidRPr="008B627C">
        <w:rPr>
          <w:rFonts w:eastAsia="맑은 고딕"/>
          <w:b/>
          <w:color w:val="000000"/>
          <w:sz w:val="22"/>
          <w:szCs w:val="22"/>
        </w:rPr>
        <w:fldChar w:fldCharType="end"/>
      </w:r>
    </w:p>
    <w:p w14:paraId="59CD67B0" w14:textId="241B41AC"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_Ref54363515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7</w:t>
      </w:r>
      <w:r w:rsidRPr="008B627C">
        <w:rPr>
          <w:b/>
          <w:sz w:val="22"/>
          <w:szCs w:val="22"/>
        </w:rPr>
        <w:t>: If PRACH preamble transmissions from GNSS-aware UEs do not interfere with PRACH preamble transmissions from GNSS-challenged UEs, preamble detection performance for all GNSS-challenged UEs improves.</w:t>
      </w:r>
      <w:r w:rsidRPr="008B627C">
        <w:rPr>
          <w:rFonts w:eastAsia="맑은 고딕"/>
          <w:b/>
          <w:color w:val="000000"/>
          <w:sz w:val="22"/>
          <w:szCs w:val="22"/>
        </w:rPr>
        <w:fldChar w:fldCharType="end"/>
      </w:r>
    </w:p>
    <w:p w14:paraId="3AAB5A90" w14:textId="77777777" w:rsidR="008B627C" w:rsidRDefault="008B627C" w:rsidP="008B627C">
      <w:pPr>
        <w:wordWrap/>
        <w:spacing w:before="60" w:after="60" w:line="288" w:lineRule="auto"/>
        <w:jc w:val="both"/>
        <w:rPr>
          <w:rFonts w:eastAsia="맑은 고딕"/>
          <w:color w:val="000000"/>
          <w:sz w:val="22"/>
          <w:szCs w:val="22"/>
        </w:rPr>
      </w:pPr>
    </w:p>
    <w:p w14:paraId="1A999BC9" w14:textId="206F8DA6" w:rsidR="005E37A1" w:rsidRPr="001D75BE"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Our proposals are summarized below.</w:t>
      </w:r>
    </w:p>
    <w:p w14:paraId="1E87682C" w14:textId="04DC54CF"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_Ref53564454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1</w:t>
      </w:r>
      <w:r w:rsidRPr="008B627C">
        <w:rPr>
          <w:b/>
          <w:sz w:val="22"/>
          <w:szCs w:val="22"/>
        </w:rPr>
        <w:t xml:space="preserve">: </w:t>
      </w:r>
      <w:r w:rsidRPr="008B627C">
        <w:rPr>
          <w:rFonts w:eastAsia="맑은 고딕" w:hint="eastAsia"/>
          <w:b/>
          <w:sz w:val="22"/>
          <w:szCs w:val="22"/>
        </w:rPr>
        <w:t xml:space="preserve">The </w:t>
      </w:r>
      <w:r w:rsidRPr="008B627C">
        <w:rPr>
          <w:rFonts w:eastAsia="맑은 고딕"/>
          <w:b/>
          <w:sz w:val="22"/>
          <w:szCs w:val="22"/>
        </w:rPr>
        <w:t>attenuation loss due to forest is reflected for evaluations.</w:t>
      </w:r>
      <w:r w:rsidRPr="008B627C">
        <w:rPr>
          <w:rFonts w:eastAsia="맑은 고딕"/>
          <w:b/>
          <w:color w:val="FF0000"/>
          <w:sz w:val="22"/>
          <w:szCs w:val="22"/>
          <w:lang w:val="en-GB"/>
        </w:rPr>
        <w:fldChar w:fldCharType="end"/>
      </w:r>
    </w:p>
    <w:p w14:paraId="2D050611" w14:textId="13AE4991"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_Ref53564456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2</w:t>
      </w:r>
      <w:r w:rsidRPr="008B627C">
        <w:rPr>
          <w:b/>
          <w:sz w:val="22"/>
          <w:szCs w:val="22"/>
        </w:rPr>
        <w:t xml:space="preserve">. </w:t>
      </w:r>
      <w:r w:rsidRPr="008B627C">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r w:rsidRPr="008B627C">
        <w:rPr>
          <w:rFonts w:eastAsia="맑은 고딕"/>
          <w:b/>
          <w:color w:val="FF0000"/>
          <w:sz w:val="22"/>
          <w:szCs w:val="22"/>
          <w:lang w:val="en-GB"/>
        </w:rPr>
        <w:fldChar w:fldCharType="end"/>
      </w:r>
    </w:p>
    <w:p w14:paraId="61DC4845" w14:textId="2048F447"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_Ref53564458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3</w:t>
      </w:r>
      <w:r w:rsidRPr="008B627C">
        <w:rPr>
          <w:b/>
          <w:sz w:val="22"/>
          <w:szCs w:val="22"/>
        </w:rPr>
        <w:t xml:space="preserve">: </w:t>
      </w:r>
      <w:r w:rsidRPr="008B627C">
        <w:rPr>
          <w:b/>
          <w:sz w:val="22"/>
          <w:szCs w:val="22"/>
          <w:lang w:val="en-GB" w:eastAsia="en-US"/>
        </w:rPr>
        <w:t>Closed loop power control should be supported in NTN and a mechanism to disable closed loop power control should be considered.</w:t>
      </w:r>
      <w:r w:rsidRPr="008B627C">
        <w:rPr>
          <w:rFonts w:eastAsia="맑은 고딕"/>
          <w:b/>
          <w:color w:val="FF0000"/>
          <w:sz w:val="22"/>
          <w:szCs w:val="22"/>
          <w:lang w:val="en-GB"/>
        </w:rPr>
        <w:fldChar w:fldCharType="end"/>
      </w:r>
    </w:p>
    <w:p w14:paraId="2BE6D836" w14:textId="29D00EE7"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_Ref53564460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4</w:t>
      </w:r>
      <w:r w:rsidRPr="008B627C">
        <w:rPr>
          <w:b/>
          <w:sz w:val="22"/>
          <w:szCs w:val="22"/>
        </w:rPr>
        <w:t xml:space="preserve">: </w:t>
      </w:r>
      <w:r w:rsidRPr="008B627C">
        <w:rPr>
          <w:rFonts w:eastAsia="맑은 고딕"/>
          <w:b/>
          <w:color w:val="000000"/>
          <w:sz w:val="22"/>
          <w:szCs w:val="22"/>
        </w:rPr>
        <w:t>A gNB/satellite applies different values of Doppler pre-compensation to different SSBs.</w:t>
      </w:r>
      <w:r w:rsidRPr="008B627C">
        <w:rPr>
          <w:rFonts w:eastAsia="맑은 고딕"/>
          <w:b/>
          <w:color w:val="FF0000"/>
          <w:sz w:val="22"/>
          <w:szCs w:val="22"/>
          <w:lang w:val="en-GB"/>
        </w:rPr>
        <w:fldChar w:fldCharType="end"/>
      </w:r>
    </w:p>
    <w:p w14:paraId="729E4FCD" w14:textId="2DD875DB"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_Ref54363424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5</w:t>
      </w:r>
      <w:r w:rsidRPr="008B627C">
        <w:rPr>
          <w:rFonts w:eastAsia="맑은 고딕"/>
          <w:b/>
          <w:color w:val="000000"/>
          <w:sz w:val="22"/>
          <w:szCs w:val="22"/>
        </w:rPr>
        <w:t>: A gNB can assign separate PRACH resources to GNSS-aware UEs and GNSS-challenged UEs.</w:t>
      </w:r>
      <w:r w:rsidRPr="008B627C">
        <w:rPr>
          <w:rFonts w:eastAsia="맑은 고딕"/>
          <w:b/>
          <w:color w:val="FF0000"/>
          <w:sz w:val="22"/>
          <w:szCs w:val="22"/>
          <w:lang w:val="en-GB"/>
        </w:rPr>
        <w:fldChar w:fldCharType="end"/>
      </w:r>
    </w:p>
    <w:p w14:paraId="48D23B70" w14:textId="642E2667"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_Ref54363472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6</w:t>
      </w:r>
      <w:r w:rsidRPr="008B627C">
        <w:rPr>
          <w:rFonts w:eastAsia="맑은 고딕"/>
          <w:b/>
          <w:color w:val="000000"/>
          <w:sz w:val="22"/>
          <w:szCs w:val="22"/>
        </w:rPr>
        <w:t>: The BWP configuration is extended to indicate the amount of frequency offset to adjust the PRB grid with respect to the default BWP.</w:t>
      </w:r>
      <w:r w:rsidRPr="008B627C">
        <w:rPr>
          <w:rFonts w:eastAsia="맑은 고딕"/>
          <w:b/>
          <w:color w:val="FF0000"/>
          <w:sz w:val="22"/>
          <w:szCs w:val="22"/>
          <w:lang w:val="en-GB"/>
        </w:rPr>
        <w:fldChar w:fldCharType="end"/>
      </w:r>
    </w:p>
    <w:p w14:paraId="2171C760" w14:textId="1387918D" w:rsidR="00CD737C" w:rsidRPr="000947B9" w:rsidRDefault="00CD737C" w:rsidP="00F75D72">
      <w:pPr>
        <w:wordWrap/>
        <w:spacing w:before="60" w:after="60" w:line="288" w:lineRule="auto"/>
        <w:jc w:val="both"/>
        <w:rPr>
          <w:rFonts w:eastAsia="맑은 고딕"/>
          <w:color w:val="FF0000"/>
          <w:sz w:val="22"/>
          <w:szCs w:val="22"/>
          <w:lang w:val="en-GB"/>
        </w:rPr>
      </w:pPr>
    </w:p>
    <w:p w14:paraId="7CF9AFEE"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11DF2A43" w14:textId="471F0936" w:rsidR="002A1A45" w:rsidRDefault="001163FB" w:rsidP="00993B62">
      <w:pPr>
        <w:pStyle w:val="2222"/>
        <w:numPr>
          <w:ilvl w:val="0"/>
          <w:numId w:val="13"/>
        </w:numPr>
        <w:spacing w:after="120" w:line="288" w:lineRule="auto"/>
        <w:ind w:left="426" w:firstLineChars="0" w:hanging="426"/>
        <w:rPr>
          <w:rFonts w:eastAsia="MS Mincho"/>
          <w:bCs/>
          <w:sz w:val="22"/>
          <w:szCs w:val="22"/>
          <w:lang w:eastAsia="ja-JP"/>
        </w:rPr>
      </w:pPr>
      <w:r w:rsidRPr="005D1AFB">
        <w:rPr>
          <w:rFonts w:eastAsia="MS Mincho"/>
          <w:bCs/>
          <w:sz w:val="22"/>
          <w:szCs w:val="22"/>
          <w:lang w:eastAsia="ja-JP"/>
        </w:rPr>
        <w:t>RP‑20</w:t>
      </w:r>
      <w:r w:rsidR="00C62619">
        <w:rPr>
          <w:rFonts w:eastAsia="MS Mincho"/>
          <w:bCs/>
          <w:sz w:val="22"/>
          <w:szCs w:val="22"/>
          <w:lang w:eastAsia="ja-JP"/>
        </w:rPr>
        <w:t>2908</w:t>
      </w:r>
      <w:r>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Pr>
          <w:rFonts w:eastAsia="MS Mincho"/>
          <w:bCs/>
          <w:sz w:val="22"/>
          <w:szCs w:val="22"/>
          <w:lang w:eastAsia="ja-JP"/>
        </w:rPr>
        <w:t>.”</w:t>
      </w:r>
    </w:p>
    <w:p w14:paraId="6E50EF45" w14:textId="247A44F8" w:rsidR="00417C8D" w:rsidRPr="001D75BE" w:rsidRDefault="00417C8D" w:rsidP="00993B62">
      <w:pPr>
        <w:pStyle w:val="2222"/>
        <w:numPr>
          <w:ilvl w:val="0"/>
          <w:numId w:val="13"/>
        </w:numPr>
        <w:spacing w:after="120" w:line="288" w:lineRule="auto"/>
        <w:ind w:left="426" w:firstLineChars="0" w:hanging="426"/>
        <w:rPr>
          <w:rFonts w:eastAsia="MS Mincho"/>
          <w:bCs/>
          <w:sz w:val="22"/>
          <w:szCs w:val="22"/>
          <w:lang w:eastAsia="ja-JP"/>
        </w:rPr>
      </w:pPr>
      <w:r>
        <w:rPr>
          <w:rFonts w:eastAsia="MS Mincho"/>
          <w:bCs/>
          <w:sz w:val="22"/>
          <w:szCs w:val="22"/>
          <w:lang w:eastAsia="ja-JP"/>
        </w:rPr>
        <w:t>ITU-R, “Recommendation ITU-R P.833-9: Attenuation in vegetation,” Sept. 2016.</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56BEE" w14:textId="77777777" w:rsidR="00FB30E6" w:rsidRPr="00C47AD2" w:rsidRDefault="00FB30E6">
      <w:pPr>
        <w:rPr>
          <w:rFonts w:ascii="Arial" w:hAnsi="Arial"/>
          <w:sz w:val="12"/>
        </w:rPr>
      </w:pPr>
      <w:r>
        <w:separator/>
      </w:r>
    </w:p>
  </w:endnote>
  <w:endnote w:type="continuationSeparator" w:id="0">
    <w:p w14:paraId="0626EA1D" w14:textId="77777777" w:rsidR="00FB30E6" w:rsidRPr="00C47AD2" w:rsidRDefault="00FB30E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3422D51" w:rsidR="001514D4" w:rsidRDefault="001514D4">
    <w:pPr>
      <w:pStyle w:val="a5"/>
    </w:pPr>
    <w:r>
      <w:fldChar w:fldCharType="begin"/>
    </w:r>
    <w:r>
      <w:instrText xml:space="preserve"> PAGE   \* MERGEFORMAT </w:instrText>
    </w:r>
    <w:r>
      <w:fldChar w:fldCharType="separate"/>
    </w:r>
    <w:r w:rsidR="00FB30E6">
      <w:t>1</w:t>
    </w:r>
    <w:r>
      <w:fldChar w:fldCharType="end"/>
    </w:r>
  </w:p>
  <w:p w14:paraId="45CA142C"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07176" w14:textId="77777777" w:rsidR="00FB30E6" w:rsidRPr="00C47AD2" w:rsidRDefault="00FB30E6">
      <w:pPr>
        <w:rPr>
          <w:rFonts w:ascii="Arial" w:hAnsi="Arial"/>
          <w:sz w:val="12"/>
        </w:rPr>
      </w:pPr>
      <w:r>
        <w:separator/>
      </w:r>
    </w:p>
  </w:footnote>
  <w:footnote w:type="continuationSeparator" w:id="0">
    <w:p w14:paraId="23987F3B" w14:textId="77777777" w:rsidR="00FB30E6" w:rsidRPr="00C47AD2" w:rsidRDefault="00FB30E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2"/>
  </w:num>
  <w:num w:numId="6">
    <w:abstractNumId w:val="40"/>
  </w:num>
  <w:num w:numId="7">
    <w:abstractNumId w:val="24"/>
  </w:num>
  <w:num w:numId="8">
    <w:abstractNumId w:val="20"/>
  </w:num>
  <w:num w:numId="9">
    <w:abstractNumId w:val="38"/>
  </w:num>
  <w:num w:numId="10">
    <w:abstractNumId w:val="3"/>
  </w:num>
  <w:num w:numId="11">
    <w:abstractNumId w:val="8"/>
  </w:num>
  <w:num w:numId="12">
    <w:abstractNumId w:val="39"/>
  </w:num>
  <w:num w:numId="13">
    <w:abstractNumId w:val="2"/>
  </w:num>
  <w:num w:numId="14">
    <w:abstractNumId w:val="18"/>
  </w:num>
  <w:num w:numId="15">
    <w:abstractNumId w:val="7"/>
  </w:num>
  <w:num w:numId="16">
    <w:abstractNumId w:val="31"/>
  </w:num>
  <w:num w:numId="17">
    <w:abstractNumId w:val="4"/>
  </w:num>
  <w:num w:numId="18">
    <w:abstractNumId w:val="26"/>
  </w:num>
  <w:num w:numId="19">
    <w:abstractNumId w:val="36"/>
  </w:num>
  <w:num w:numId="20">
    <w:abstractNumId w:val="10"/>
  </w:num>
  <w:num w:numId="21">
    <w:abstractNumId w:val="29"/>
  </w:num>
  <w:num w:numId="22">
    <w:abstractNumId w:val="6"/>
  </w:num>
  <w:num w:numId="23">
    <w:abstractNumId w:val="21"/>
  </w:num>
  <w:num w:numId="24">
    <w:abstractNumId w:val="30"/>
  </w:num>
  <w:num w:numId="25">
    <w:abstractNumId w:val="9"/>
  </w:num>
  <w:num w:numId="26">
    <w:abstractNumId w:val="17"/>
  </w:num>
  <w:num w:numId="27">
    <w:abstractNumId w:val="11"/>
  </w:num>
  <w:num w:numId="28">
    <w:abstractNumId w:val="32"/>
  </w:num>
  <w:num w:numId="29">
    <w:abstractNumId w:val="34"/>
  </w:num>
  <w:num w:numId="30">
    <w:abstractNumId w:val="19"/>
  </w:num>
  <w:num w:numId="31">
    <w:abstractNumId w:val="33"/>
  </w:num>
  <w:num w:numId="32">
    <w:abstractNumId w:val="23"/>
  </w:num>
  <w:num w:numId="33">
    <w:abstractNumId w:val="12"/>
  </w:num>
  <w:num w:numId="34">
    <w:abstractNumId w:val="35"/>
  </w:num>
  <w:num w:numId="35">
    <w:abstractNumId w:val="28"/>
  </w:num>
  <w:num w:numId="36">
    <w:abstractNumId w:val="27"/>
  </w:num>
  <w:num w:numId="37">
    <w:abstractNumId w:val="14"/>
  </w:num>
  <w:num w:numId="38">
    <w:abstractNumId w:val="5"/>
  </w:num>
  <w:num w:numId="39">
    <w:abstractNumId w:val="25"/>
  </w:num>
  <w:num w:numId="40">
    <w:abstractNumId w:val="1"/>
  </w:num>
  <w:num w:numId="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7B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B1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F6A"/>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126"/>
    <w:rsid w:val="00114815"/>
    <w:rsid w:val="00114896"/>
    <w:rsid w:val="00114A30"/>
    <w:rsid w:val="00114A86"/>
    <w:rsid w:val="00114AFD"/>
    <w:rsid w:val="00115526"/>
    <w:rsid w:val="001155CC"/>
    <w:rsid w:val="00115766"/>
    <w:rsid w:val="001158A0"/>
    <w:rsid w:val="00115A50"/>
    <w:rsid w:val="00115CCD"/>
    <w:rsid w:val="0011605B"/>
    <w:rsid w:val="00116143"/>
    <w:rsid w:val="001163FB"/>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B63"/>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07"/>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942"/>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628"/>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1B18"/>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BFC"/>
    <w:rsid w:val="00291E29"/>
    <w:rsid w:val="00291F57"/>
    <w:rsid w:val="002926D1"/>
    <w:rsid w:val="00292D71"/>
    <w:rsid w:val="00292F9C"/>
    <w:rsid w:val="002931EC"/>
    <w:rsid w:val="0029324A"/>
    <w:rsid w:val="00293369"/>
    <w:rsid w:val="00293469"/>
    <w:rsid w:val="002934E4"/>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12A"/>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92"/>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31"/>
    <w:rsid w:val="0037347B"/>
    <w:rsid w:val="0037347F"/>
    <w:rsid w:val="00373520"/>
    <w:rsid w:val="003735F1"/>
    <w:rsid w:val="00373784"/>
    <w:rsid w:val="00373834"/>
    <w:rsid w:val="00373C32"/>
    <w:rsid w:val="00373F93"/>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449"/>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C8D"/>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2E9"/>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BC5"/>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F36"/>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C1B"/>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A3C"/>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75C"/>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7BC"/>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735"/>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CB8"/>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23D"/>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E9"/>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0E"/>
    <w:rsid w:val="006C299E"/>
    <w:rsid w:val="006C2BAD"/>
    <w:rsid w:val="006C2CFB"/>
    <w:rsid w:val="006C2FDA"/>
    <w:rsid w:val="006C34F0"/>
    <w:rsid w:val="006C35E4"/>
    <w:rsid w:val="006C3D11"/>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B2B"/>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8F0"/>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304"/>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A28"/>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E3B"/>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215"/>
    <w:rsid w:val="00834419"/>
    <w:rsid w:val="0083470D"/>
    <w:rsid w:val="0083476C"/>
    <w:rsid w:val="0083530E"/>
    <w:rsid w:val="008359D9"/>
    <w:rsid w:val="00835CE3"/>
    <w:rsid w:val="00835E55"/>
    <w:rsid w:val="00836304"/>
    <w:rsid w:val="00836540"/>
    <w:rsid w:val="00836747"/>
    <w:rsid w:val="00836A62"/>
    <w:rsid w:val="00837415"/>
    <w:rsid w:val="008376B8"/>
    <w:rsid w:val="008378E3"/>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24B5"/>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27C"/>
    <w:rsid w:val="008B6390"/>
    <w:rsid w:val="008B65B0"/>
    <w:rsid w:val="008B6A4C"/>
    <w:rsid w:val="008B6A8C"/>
    <w:rsid w:val="008B6CB1"/>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980"/>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37B"/>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4983"/>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082"/>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1B77"/>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64E"/>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619"/>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9DF"/>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37C"/>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35B"/>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B8"/>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A"/>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17"/>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2F7C"/>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9D7"/>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1B3"/>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4DB"/>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2AD"/>
    <w:rsid w:val="00FB11A5"/>
    <w:rsid w:val="00FB12B9"/>
    <w:rsid w:val="00FB15E3"/>
    <w:rsid w:val="00FB1E06"/>
    <w:rsid w:val="00FB1E88"/>
    <w:rsid w:val="00FB2375"/>
    <w:rsid w:val="00FB2415"/>
    <w:rsid w:val="00FB2D43"/>
    <w:rsid w:val="00FB30E6"/>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F0FA0D8E-D10A-4A74-AD4B-FEB98CA0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ê¥¹¥È¶ÎÂä Char,列表段落1 Char,—ño’i—Ž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styleId="aff4">
    <w:name w:val="Placeholder Text"/>
    <w:basedOn w:val="a1"/>
    <w:uiPriority w:val="99"/>
    <w:semiHidden/>
    <w:rsid w:val="00D503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BC264-F56C-497C-923A-08FFF8E52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1957</Words>
  <Characters>11157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Jeongho Yeo</cp:lastModifiedBy>
  <cp:revision>11</cp:revision>
  <cp:lastPrinted>2010-04-04T18:18:00Z</cp:lastPrinted>
  <dcterms:created xsi:type="dcterms:W3CDTF">2020-10-23T05:49:00Z</dcterms:created>
  <dcterms:modified xsi:type="dcterms:W3CDTF">2021-01-17T21:43:00Z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